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B9" w:rsidRPr="00FD169C" w:rsidRDefault="00932CB9" w:rsidP="00932CB9">
      <w:pPr>
        <w:pBdr>
          <w:top w:val="single" w:sz="4" w:space="1" w:color="000000"/>
          <w:left w:val="single" w:sz="4" w:space="4" w:color="000000"/>
          <w:bottom w:val="single" w:sz="4" w:space="1" w:color="000000"/>
          <w:right w:val="single" w:sz="4" w:space="4" w:color="000000"/>
        </w:pBdr>
        <w:shd w:val="clear" w:color="auto" w:fill="000000"/>
        <w:jc w:val="center"/>
        <w:rPr>
          <w:rFonts w:ascii="Verdana" w:hAnsi="Verdana" w:cs="Aharoni"/>
          <w:b/>
          <w:smallCaps/>
          <w:sz w:val="28"/>
          <w:szCs w:val="20"/>
        </w:rPr>
      </w:pPr>
      <w:bookmarkStart w:id="0" w:name="_GoBack"/>
      <w:bookmarkEnd w:id="0"/>
      <w:r w:rsidRPr="00FD169C">
        <w:rPr>
          <w:rFonts w:ascii="Verdana" w:hAnsi="Verdana" w:cs="Aharoni"/>
          <w:b/>
          <w:smallCaps/>
          <w:sz w:val="28"/>
          <w:szCs w:val="20"/>
        </w:rPr>
        <w:t>ADMINISTRACION PUBLICA Y GEOGRAFIA SOCIAL</w:t>
      </w:r>
    </w:p>
    <w:p w:rsidR="00932CB9" w:rsidRPr="0041352C" w:rsidRDefault="00932CB9" w:rsidP="00932CB9">
      <w:pPr>
        <w:rPr>
          <w:rFonts w:ascii="Verdana" w:hAnsi="Verdana"/>
          <w:sz w:val="20"/>
          <w:szCs w:val="20"/>
        </w:rPr>
      </w:pPr>
    </w:p>
    <w:p w:rsidR="00932CB9" w:rsidRPr="0041352C" w:rsidRDefault="00932CB9" w:rsidP="006B311E">
      <w:pPr>
        <w:spacing w:after="0" w:line="240" w:lineRule="auto"/>
        <w:rPr>
          <w:rFonts w:ascii="Verdana" w:hAnsi="Verdana" w:cs="Arial"/>
          <w:b/>
          <w:sz w:val="20"/>
          <w:szCs w:val="20"/>
        </w:rPr>
      </w:pPr>
      <w:r w:rsidRPr="0041352C">
        <w:rPr>
          <w:rFonts w:ascii="Verdana" w:hAnsi="Verdana" w:cs="Arial"/>
          <w:b/>
          <w:sz w:val="20"/>
          <w:szCs w:val="20"/>
        </w:rPr>
        <w:t>CICLO: Cuarto</w:t>
      </w:r>
    </w:p>
    <w:p w:rsidR="00932CB9" w:rsidRPr="0041352C" w:rsidRDefault="00932CB9" w:rsidP="006B311E">
      <w:pPr>
        <w:spacing w:after="0" w:line="240" w:lineRule="auto"/>
        <w:rPr>
          <w:rFonts w:ascii="Verdana" w:hAnsi="Verdana" w:cs="Arial"/>
          <w:b/>
          <w:sz w:val="20"/>
          <w:szCs w:val="20"/>
        </w:rPr>
      </w:pPr>
      <w:r w:rsidRPr="0041352C">
        <w:rPr>
          <w:rFonts w:ascii="Verdana" w:hAnsi="Verdana" w:cs="Arial"/>
          <w:b/>
          <w:sz w:val="20"/>
          <w:szCs w:val="20"/>
        </w:rPr>
        <w:t>RESPONSABLE: Victor Estuardo Villalta García</w:t>
      </w:r>
    </w:p>
    <w:p w:rsidR="00932CB9" w:rsidRPr="0041352C" w:rsidRDefault="00932CB9" w:rsidP="006B311E">
      <w:pPr>
        <w:spacing w:after="0" w:line="240" w:lineRule="auto"/>
        <w:rPr>
          <w:rFonts w:ascii="Verdana" w:hAnsi="Verdana" w:cs="Arial"/>
          <w:b/>
          <w:sz w:val="20"/>
          <w:szCs w:val="20"/>
        </w:rPr>
      </w:pPr>
      <w:r w:rsidRPr="0041352C">
        <w:rPr>
          <w:rFonts w:ascii="Verdana" w:hAnsi="Verdana" w:cs="Arial"/>
          <w:b/>
          <w:sz w:val="20"/>
          <w:szCs w:val="20"/>
        </w:rPr>
        <w:t>Ciclo 2012</w:t>
      </w:r>
    </w:p>
    <w:p w:rsidR="00932CB9" w:rsidRPr="0041352C" w:rsidRDefault="00932CB9" w:rsidP="00932CB9">
      <w:pPr>
        <w:rPr>
          <w:rFonts w:ascii="Verdana" w:hAnsi="Verdana"/>
          <w:b/>
          <w:sz w:val="20"/>
          <w:szCs w:val="20"/>
        </w:rPr>
      </w:pPr>
    </w:p>
    <w:p w:rsidR="00FD0FB4" w:rsidRPr="0041352C" w:rsidRDefault="00FD0FB4" w:rsidP="00FD0FB4">
      <w:pPr>
        <w:rPr>
          <w:rFonts w:ascii="Verdana" w:hAnsi="Verdana" w:cs="Arial"/>
          <w:b/>
          <w:bCs/>
          <w:sz w:val="20"/>
          <w:szCs w:val="20"/>
          <w:lang w:val="es-AR"/>
        </w:rPr>
      </w:pPr>
      <w:r w:rsidRPr="0041352C">
        <w:rPr>
          <w:rFonts w:ascii="Verdana" w:hAnsi="Verdana" w:cs="Arial"/>
          <w:b/>
          <w:bCs/>
          <w:sz w:val="20"/>
          <w:szCs w:val="20"/>
          <w:lang w:val="es-AR"/>
        </w:rPr>
        <w:t>Antecedentes</w:t>
      </w:r>
    </w:p>
    <w:p w:rsidR="00FD0FB4" w:rsidRPr="0041352C" w:rsidRDefault="00FD0FB4" w:rsidP="00FD0FB4">
      <w:pPr>
        <w:jc w:val="both"/>
        <w:rPr>
          <w:rFonts w:ascii="Verdana" w:hAnsi="Verdana"/>
          <w:sz w:val="20"/>
          <w:szCs w:val="20"/>
        </w:rPr>
      </w:pPr>
      <w:r w:rsidRPr="00735C42">
        <w:rPr>
          <w:rFonts w:ascii="Verdana" w:hAnsi="Verdana"/>
          <w:bCs/>
          <w:sz w:val="20"/>
          <w:szCs w:val="20"/>
        </w:rPr>
        <w:t>Administración Pública</w:t>
      </w:r>
      <w:r w:rsidRPr="0041352C">
        <w:rPr>
          <w:rStyle w:val="apple-converted-space"/>
          <w:rFonts w:ascii="Verdana" w:hAnsi="Verdana" w:cs="Arial"/>
          <w:sz w:val="20"/>
          <w:szCs w:val="20"/>
        </w:rPr>
        <w:t> </w:t>
      </w:r>
      <w:r w:rsidRPr="0041352C">
        <w:rPr>
          <w:rFonts w:ascii="Verdana" w:hAnsi="Verdana"/>
          <w:sz w:val="20"/>
          <w:szCs w:val="20"/>
        </w:rPr>
        <w:t>es un término de límites imprecisos que comprende el conjunto de</w:t>
      </w:r>
      <w:r w:rsidRPr="0041352C">
        <w:rPr>
          <w:rStyle w:val="apple-converted-space"/>
          <w:rFonts w:ascii="Verdana" w:hAnsi="Verdana" w:cs="Arial"/>
          <w:sz w:val="20"/>
          <w:szCs w:val="20"/>
        </w:rPr>
        <w:t> </w:t>
      </w:r>
      <w:hyperlink r:id="rId9" w:tooltip="Organización" w:history="1">
        <w:r w:rsidRPr="0041352C">
          <w:rPr>
            <w:rStyle w:val="Hipervnculo"/>
            <w:rFonts w:ascii="Verdana" w:hAnsi="Verdana" w:cs="Arial"/>
            <w:color w:val="auto"/>
            <w:sz w:val="20"/>
            <w:szCs w:val="20"/>
            <w:u w:val="none"/>
          </w:rPr>
          <w:t>organizaciones</w:t>
        </w:r>
      </w:hyperlink>
      <w:r w:rsidRPr="0041352C">
        <w:rPr>
          <w:rStyle w:val="apple-converted-space"/>
          <w:rFonts w:ascii="Verdana" w:hAnsi="Verdana" w:cs="Arial"/>
          <w:sz w:val="20"/>
          <w:szCs w:val="20"/>
        </w:rPr>
        <w:t> </w:t>
      </w:r>
      <w:r w:rsidRPr="0041352C">
        <w:rPr>
          <w:rFonts w:ascii="Verdana" w:hAnsi="Verdana"/>
          <w:sz w:val="20"/>
          <w:szCs w:val="20"/>
        </w:rPr>
        <w:t>públicas que realizan la función</w:t>
      </w:r>
      <w:r w:rsidRPr="0041352C">
        <w:rPr>
          <w:rStyle w:val="apple-converted-space"/>
          <w:rFonts w:ascii="Verdana" w:hAnsi="Verdana" w:cs="Arial"/>
          <w:sz w:val="20"/>
          <w:szCs w:val="20"/>
        </w:rPr>
        <w:t> </w:t>
      </w:r>
      <w:hyperlink r:id="rId10" w:tooltip="Administración de Empresas" w:history="1">
        <w:r w:rsidRPr="0041352C">
          <w:rPr>
            <w:rStyle w:val="Hipervnculo"/>
            <w:rFonts w:ascii="Verdana" w:hAnsi="Verdana" w:cs="Arial"/>
            <w:color w:val="auto"/>
            <w:sz w:val="20"/>
            <w:szCs w:val="20"/>
            <w:u w:val="none"/>
          </w:rPr>
          <w:t>administrativa</w:t>
        </w:r>
      </w:hyperlink>
      <w:r w:rsidRPr="0041352C">
        <w:rPr>
          <w:rStyle w:val="apple-converted-space"/>
          <w:rFonts w:ascii="Verdana" w:hAnsi="Verdana" w:cs="Arial"/>
          <w:sz w:val="20"/>
          <w:szCs w:val="20"/>
        </w:rPr>
        <w:t> </w:t>
      </w:r>
      <w:r w:rsidRPr="0041352C">
        <w:rPr>
          <w:rFonts w:ascii="Verdana" w:hAnsi="Verdana"/>
          <w:sz w:val="20"/>
          <w:szCs w:val="20"/>
        </w:rPr>
        <w:t>y de gestión del</w:t>
      </w:r>
      <w:r w:rsidRPr="0041352C">
        <w:rPr>
          <w:rStyle w:val="apple-converted-space"/>
          <w:rFonts w:ascii="Verdana" w:hAnsi="Verdana" w:cs="Arial"/>
          <w:sz w:val="20"/>
          <w:szCs w:val="20"/>
        </w:rPr>
        <w:t> </w:t>
      </w:r>
      <w:hyperlink r:id="rId11" w:tooltip="Estado" w:history="1">
        <w:r w:rsidRPr="0041352C">
          <w:rPr>
            <w:rStyle w:val="Hipervnculo"/>
            <w:rFonts w:ascii="Verdana" w:hAnsi="Verdana" w:cs="Arial"/>
            <w:color w:val="auto"/>
            <w:sz w:val="20"/>
            <w:szCs w:val="20"/>
            <w:u w:val="none"/>
          </w:rPr>
          <w:t>Estado</w:t>
        </w:r>
      </w:hyperlink>
      <w:r w:rsidRPr="0041352C">
        <w:rPr>
          <w:rStyle w:val="apple-converted-space"/>
          <w:rFonts w:ascii="Verdana" w:hAnsi="Verdana" w:cs="Arial"/>
          <w:sz w:val="20"/>
          <w:szCs w:val="20"/>
        </w:rPr>
        <w:t> </w:t>
      </w:r>
      <w:r w:rsidRPr="0041352C">
        <w:rPr>
          <w:rFonts w:ascii="Verdana" w:hAnsi="Verdana"/>
          <w:sz w:val="20"/>
          <w:szCs w:val="20"/>
        </w:rPr>
        <w:t>y de otros</w:t>
      </w:r>
      <w:r w:rsidRPr="0041352C">
        <w:rPr>
          <w:rStyle w:val="apple-converted-space"/>
          <w:rFonts w:ascii="Verdana" w:hAnsi="Verdana" w:cs="Arial"/>
          <w:sz w:val="20"/>
          <w:szCs w:val="20"/>
        </w:rPr>
        <w:t> </w:t>
      </w:r>
      <w:hyperlink r:id="rId12" w:tooltip="Ente público" w:history="1">
        <w:r w:rsidRPr="0041352C">
          <w:rPr>
            <w:rStyle w:val="Hipervnculo"/>
            <w:rFonts w:ascii="Verdana" w:hAnsi="Verdana" w:cs="Arial"/>
            <w:color w:val="auto"/>
            <w:sz w:val="20"/>
            <w:szCs w:val="20"/>
            <w:u w:val="none"/>
          </w:rPr>
          <w:t>entes públicos</w:t>
        </w:r>
      </w:hyperlink>
      <w:r w:rsidRPr="0041352C">
        <w:rPr>
          <w:rFonts w:ascii="Verdana" w:hAnsi="Verdana"/>
          <w:sz w:val="20"/>
          <w:szCs w:val="20"/>
        </w:rPr>
        <w:t xml:space="preserve"> con personalidad jurídica, ya sean de ámbito regional o local.</w:t>
      </w:r>
    </w:p>
    <w:p w:rsidR="00FD0FB4" w:rsidRPr="0041352C" w:rsidRDefault="00FD0FB4" w:rsidP="00FD0FB4">
      <w:pPr>
        <w:jc w:val="both"/>
        <w:rPr>
          <w:rFonts w:ascii="Verdana" w:hAnsi="Verdana"/>
          <w:sz w:val="20"/>
          <w:szCs w:val="20"/>
        </w:rPr>
      </w:pPr>
      <w:r w:rsidRPr="0041352C">
        <w:rPr>
          <w:rFonts w:ascii="Verdana" w:hAnsi="Verdana"/>
          <w:sz w:val="20"/>
          <w:szCs w:val="20"/>
        </w:rPr>
        <w:t>Por su función, la Administración Pública pone en contacto directo a la</w:t>
      </w:r>
      <w:r w:rsidRPr="0041352C">
        <w:rPr>
          <w:rStyle w:val="apple-converted-space"/>
          <w:rFonts w:ascii="Verdana" w:hAnsi="Verdana" w:cs="Arial"/>
          <w:sz w:val="20"/>
          <w:szCs w:val="20"/>
        </w:rPr>
        <w:t> </w:t>
      </w:r>
      <w:hyperlink r:id="rId13" w:tooltip="Ciudadanía" w:history="1">
        <w:r w:rsidRPr="0041352C">
          <w:rPr>
            <w:rStyle w:val="Hipervnculo"/>
            <w:rFonts w:ascii="Verdana" w:hAnsi="Verdana" w:cs="Arial"/>
            <w:color w:val="auto"/>
            <w:sz w:val="20"/>
            <w:szCs w:val="20"/>
            <w:u w:val="none"/>
          </w:rPr>
          <w:t>ciudadanía</w:t>
        </w:r>
      </w:hyperlink>
      <w:r w:rsidRPr="0041352C">
        <w:rPr>
          <w:rStyle w:val="apple-converted-space"/>
          <w:rFonts w:ascii="Verdana" w:hAnsi="Verdana" w:cs="Arial"/>
          <w:sz w:val="20"/>
          <w:szCs w:val="20"/>
        </w:rPr>
        <w:t> </w:t>
      </w:r>
      <w:r w:rsidRPr="0041352C">
        <w:rPr>
          <w:rFonts w:ascii="Verdana" w:hAnsi="Verdana"/>
          <w:sz w:val="20"/>
          <w:szCs w:val="20"/>
        </w:rPr>
        <w:t>con el</w:t>
      </w:r>
      <w:r w:rsidRPr="0041352C">
        <w:rPr>
          <w:rStyle w:val="apple-converted-space"/>
          <w:rFonts w:ascii="Verdana" w:hAnsi="Verdana" w:cs="Arial"/>
          <w:sz w:val="20"/>
          <w:szCs w:val="20"/>
        </w:rPr>
        <w:t> </w:t>
      </w:r>
      <w:hyperlink r:id="rId14" w:tooltip="Poder político" w:history="1">
        <w:r w:rsidRPr="0041352C">
          <w:rPr>
            <w:rStyle w:val="Hipervnculo"/>
            <w:rFonts w:ascii="Verdana" w:hAnsi="Verdana" w:cs="Arial"/>
            <w:color w:val="auto"/>
            <w:sz w:val="20"/>
            <w:szCs w:val="20"/>
            <w:u w:val="none"/>
          </w:rPr>
          <w:t>poder político</w:t>
        </w:r>
      </w:hyperlink>
      <w:r w:rsidRPr="0041352C">
        <w:rPr>
          <w:rFonts w:ascii="Verdana" w:hAnsi="Verdana"/>
          <w:sz w:val="20"/>
          <w:szCs w:val="20"/>
        </w:rPr>
        <w:t xml:space="preserve">, satisfaciendo los intereses públicos de forma inmediata, por contraste con los poderes legislativo y judicial, que lo hacen de forma mediata. </w:t>
      </w:r>
    </w:p>
    <w:p w:rsidR="00FD0FB4" w:rsidRPr="0041352C" w:rsidRDefault="00FD0FB4" w:rsidP="00FD0FB4">
      <w:pPr>
        <w:jc w:val="both"/>
        <w:rPr>
          <w:rFonts w:ascii="Verdana" w:hAnsi="Verdana"/>
          <w:sz w:val="20"/>
          <w:szCs w:val="20"/>
        </w:rPr>
      </w:pPr>
      <w:r w:rsidRPr="0041352C">
        <w:rPr>
          <w:rFonts w:ascii="Verdana" w:hAnsi="Verdana"/>
          <w:sz w:val="20"/>
          <w:szCs w:val="20"/>
        </w:rPr>
        <w:t>Se encuentra principalmente regulada por el</w:t>
      </w:r>
      <w:r w:rsidRPr="0041352C">
        <w:rPr>
          <w:rStyle w:val="apple-converted-space"/>
          <w:rFonts w:ascii="Verdana" w:hAnsi="Verdana" w:cs="Arial"/>
          <w:sz w:val="20"/>
          <w:szCs w:val="20"/>
        </w:rPr>
        <w:t> </w:t>
      </w:r>
      <w:hyperlink r:id="rId15" w:tooltip="Poder ejecutivo" w:history="1">
        <w:r w:rsidRPr="0041352C">
          <w:rPr>
            <w:rStyle w:val="Hipervnculo"/>
            <w:rFonts w:ascii="Verdana" w:hAnsi="Verdana" w:cs="Arial"/>
            <w:color w:val="auto"/>
            <w:sz w:val="20"/>
            <w:szCs w:val="20"/>
            <w:u w:val="none"/>
          </w:rPr>
          <w:t>poder ejecutivo</w:t>
        </w:r>
      </w:hyperlink>
      <w:r w:rsidRPr="0041352C">
        <w:rPr>
          <w:rStyle w:val="apple-converted-space"/>
          <w:rFonts w:ascii="Verdana" w:hAnsi="Verdana" w:cs="Arial"/>
          <w:sz w:val="20"/>
          <w:szCs w:val="20"/>
        </w:rPr>
        <w:t> </w:t>
      </w:r>
      <w:r w:rsidRPr="0041352C">
        <w:rPr>
          <w:rFonts w:ascii="Verdana" w:hAnsi="Verdana"/>
          <w:sz w:val="20"/>
          <w:szCs w:val="20"/>
        </w:rPr>
        <w:t>y los organismos que están en contacto permanente con el mismo.</w:t>
      </w:r>
      <w:r w:rsidRPr="0041352C">
        <w:rPr>
          <w:rStyle w:val="apple-converted-space"/>
          <w:rFonts w:ascii="Verdana" w:hAnsi="Verdana" w:cs="Arial"/>
          <w:sz w:val="20"/>
          <w:szCs w:val="20"/>
        </w:rPr>
        <w:t> </w:t>
      </w:r>
      <w:r w:rsidRPr="0041352C">
        <w:rPr>
          <w:rFonts w:ascii="Verdana" w:hAnsi="Verdana"/>
          <w:sz w:val="20"/>
          <w:szCs w:val="20"/>
        </w:rPr>
        <w:t>Por excepción, algunas dependencias del poder legislativo integran la noción de "Administración Pública" (como las</w:t>
      </w:r>
      <w:r w:rsidRPr="0041352C">
        <w:rPr>
          <w:rStyle w:val="apple-converted-space"/>
          <w:rFonts w:ascii="Verdana" w:hAnsi="Verdana" w:cs="Arial"/>
          <w:sz w:val="20"/>
          <w:szCs w:val="20"/>
        </w:rPr>
        <w:t> </w:t>
      </w:r>
      <w:hyperlink r:id="rId16" w:tooltip="Empresa estatal" w:history="1">
        <w:r w:rsidRPr="0041352C">
          <w:rPr>
            <w:rStyle w:val="Hipervnculo"/>
            <w:rFonts w:ascii="Verdana" w:hAnsi="Verdana" w:cs="Arial"/>
            <w:color w:val="auto"/>
            <w:sz w:val="20"/>
            <w:szCs w:val="20"/>
            <w:u w:val="none"/>
          </w:rPr>
          <w:t>empresas estatales</w:t>
        </w:r>
      </w:hyperlink>
      <w:r w:rsidRPr="0041352C">
        <w:rPr>
          <w:rFonts w:ascii="Verdana" w:hAnsi="Verdana"/>
          <w:sz w:val="20"/>
          <w:szCs w:val="20"/>
        </w:rPr>
        <w:t xml:space="preserve">), a la vez que pueden existir juegos de "Administración General" en los otros cuatro poderes o en organismos estatales que pueden depender de alguno. </w:t>
      </w:r>
    </w:p>
    <w:p w:rsidR="00FD0FB4" w:rsidRPr="0041352C" w:rsidRDefault="00FD0FB4" w:rsidP="00FD0FB4">
      <w:pPr>
        <w:jc w:val="both"/>
        <w:rPr>
          <w:rFonts w:ascii="Verdana" w:hAnsi="Verdana"/>
          <w:sz w:val="20"/>
          <w:szCs w:val="20"/>
        </w:rPr>
      </w:pPr>
      <w:r w:rsidRPr="0041352C">
        <w:rPr>
          <w:rFonts w:ascii="Verdana" w:hAnsi="Verdana"/>
          <w:sz w:val="20"/>
          <w:szCs w:val="20"/>
        </w:rPr>
        <w:t>La noción alcanza a los maestros y demás trabajadores de la</w:t>
      </w:r>
      <w:r w:rsidRPr="0041352C">
        <w:rPr>
          <w:rStyle w:val="apple-converted-space"/>
          <w:rFonts w:ascii="Verdana" w:hAnsi="Verdana" w:cs="Arial"/>
          <w:sz w:val="20"/>
          <w:szCs w:val="20"/>
        </w:rPr>
        <w:t> </w:t>
      </w:r>
      <w:hyperlink r:id="rId17" w:tooltip="Educación" w:history="1">
        <w:r w:rsidRPr="0041352C">
          <w:rPr>
            <w:rStyle w:val="Hipervnculo"/>
            <w:rFonts w:ascii="Verdana" w:hAnsi="Verdana" w:cs="Arial"/>
            <w:color w:val="auto"/>
            <w:sz w:val="20"/>
            <w:szCs w:val="20"/>
            <w:u w:val="none"/>
          </w:rPr>
          <w:t>educación</w:t>
        </w:r>
      </w:hyperlink>
      <w:r w:rsidRPr="0041352C">
        <w:rPr>
          <w:rStyle w:val="apple-converted-space"/>
          <w:rFonts w:ascii="Verdana" w:hAnsi="Verdana" w:cs="Arial"/>
          <w:sz w:val="20"/>
          <w:szCs w:val="20"/>
        </w:rPr>
        <w:t> </w:t>
      </w:r>
      <w:r w:rsidRPr="0041352C">
        <w:rPr>
          <w:rFonts w:ascii="Verdana" w:hAnsi="Verdana"/>
          <w:sz w:val="20"/>
          <w:szCs w:val="20"/>
        </w:rPr>
        <w:t>pública, así como a los profesionales de los centros estatales de</w:t>
      </w:r>
      <w:r w:rsidRPr="0041352C">
        <w:rPr>
          <w:rStyle w:val="apple-converted-space"/>
          <w:rFonts w:ascii="Verdana" w:hAnsi="Verdana" w:cs="Arial"/>
          <w:sz w:val="20"/>
          <w:szCs w:val="20"/>
        </w:rPr>
        <w:t> </w:t>
      </w:r>
      <w:hyperlink r:id="rId18" w:tooltip="Salud" w:history="1">
        <w:r w:rsidRPr="0041352C">
          <w:rPr>
            <w:rStyle w:val="Hipervnculo"/>
            <w:rFonts w:ascii="Verdana" w:hAnsi="Verdana" w:cs="Arial"/>
            <w:color w:val="auto"/>
            <w:sz w:val="20"/>
            <w:szCs w:val="20"/>
            <w:u w:val="none"/>
          </w:rPr>
          <w:t>salud</w:t>
        </w:r>
      </w:hyperlink>
      <w:r w:rsidRPr="0041352C">
        <w:rPr>
          <w:rFonts w:ascii="Verdana" w:hAnsi="Verdana"/>
          <w:sz w:val="20"/>
          <w:szCs w:val="20"/>
        </w:rPr>
        <w:t>, a la</w:t>
      </w:r>
      <w:r w:rsidRPr="0041352C">
        <w:rPr>
          <w:rStyle w:val="apple-converted-space"/>
          <w:rFonts w:ascii="Verdana" w:hAnsi="Verdana" w:cs="Arial"/>
          <w:sz w:val="20"/>
          <w:szCs w:val="20"/>
        </w:rPr>
        <w:t> </w:t>
      </w:r>
      <w:hyperlink r:id="rId19" w:tooltip="Policía" w:history="1">
        <w:r w:rsidRPr="0041352C">
          <w:rPr>
            <w:rStyle w:val="Hipervnculo"/>
            <w:rFonts w:ascii="Verdana" w:hAnsi="Verdana" w:cs="Arial"/>
            <w:color w:val="auto"/>
            <w:sz w:val="20"/>
            <w:szCs w:val="20"/>
            <w:u w:val="none"/>
          </w:rPr>
          <w:t>policía</w:t>
        </w:r>
      </w:hyperlink>
      <w:r w:rsidRPr="0041352C">
        <w:rPr>
          <w:rStyle w:val="apple-converted-space"/>
          <w:rFonts w:ascii="Verdana" w:hAnsi="Verdana" w:cs="Arial"/>
          <w:sz w:val="20"/>
          <w:szCs w:val="20"/>
        </w:rPr>
        <w:t> </w:t>
      </w:r>
      <w:r w:rsidRPr="0041352C">
        <w:rPr>
          <w:rFonts w:ascii="Verdana" w:hAnsi="Verdana"/>
          <w:sz w:val="20"/>
          <w:szCs w:val="20"/>
        </w:rPr>
        <w:t>y a las</w:t>
      </w:r>
      <w:r w:rsidRPr="0041352C">
        <w:rPr>
          <w:rStyle w:val="apple-converted-space"/>
          <w:rFonts w:ascii="Verdana" w:hAnsi="Verdana" w:cs="Arial"/>
          <w:sz w:val="20"/>
          <w:szCs w:val="20"/>
        </w:rPr>
        <w:t> </w:t>
      </w:r>
      <w:hyperlink r:id="rId20" w:tooltip="Fuerzas armadas" w:history="1">
        <w:r w:rsidRPr="0041352C">
          <w:rPr>
            <w:rStyle w:val="Hipervnculo"/>
            <w:rFonts w:ascii="Verdana" w:hAnsi="Verdana" w:cs="Arial"/>
            <w:color w:val="auto"/>
            <w:sz w:val="20"/>
            <w:szCs w:val="20"/>
            <w:u w:val="none"/>
          </w:rPr>
          <w:t>fuerzas armadas</w:t>
        </w:r>
      </w:hyperlink>
      <w:r w:rsidRPr="0041352C">
        <w:rPr>
          <w:rFonts w:ascii="Verdana" w:hAnsi="Verdana"/>
          <w:sz w:val="20"/>
          <w:szCs w:val="20"/>
        </w:rPr>
        <w:t>. Se discute, en cambio, si la integran los</w:t>
      </w:r>
      <w:r w:rsidRPr="0041352C">
        <w:rPr>
          <w:rStyle w:val="apple-converted-space"/>
          <w:rFonts w:ascii="Verdana" w:hAnsi="Verdana" w:cs="Arial"/>
          <w:sz w:val="20"/>
          <w:szCs w:val="20"/>
        </w:rPr>
        <w:t> </w:t>
      </w:r>
      <w:hyperlink r:id="rId21" w:tooltip="Servicios públicos" w:history="1">
        <w:r w:rsidRPr="0041352C">
          <w:rPr>
            <w:rStyle w:val="Hipervnculo"/>
            <w:rFonts w:ascii="Verdana" w:hAnsi="Verdana" w:cs="Arial"/>
            <w:color w:val="auto"/>
            <w:sz w:val="20"/>
            <w:szCs w:val="20"/>
            <w:u w:val="none"/>
          </w:rPr>
          <w:t>servicios públicos</w:t>
        </w:r>
      </w:hyperlink>
      <w:r w:rsidRPr="0041352C">
        <w:rPr>
          <w:rStyle w:val="apple-converted-space"/>
          <w:rFonts w:ascii="Verdana" w:hAnsi="Verdana" w:cs="Arial"/>
          <w:sz w:val="20"/>
          <w:szCs w:val="20"/>
        </w:rPr>
        <w:t> </w:t>
      </w:r>
      <w:r w:rsidRPr="0041352C">
        <w:rPr>
          <w:rFonts w:ascii="Verdana" w:hAnsi="Verdana"/>
          <w:sz w:val="20"/>
          <w:szCs w:val="20"/>
        </w:rPr>
        <w:t>prestados por organizaciones privadas con habilitación del Estado. El concepto no alcanza a las entidades estatales que realizan la</w:t>
      </w:r>
      <w:r w:rsidRPr="0041352C">
        <w:rPr>
          <w:rStyle w:val="apple-converted-space"/>
          <w:rFonts w:ascii="Verdana" w:hAnsi="Verdana" w:cs="Arial"/>
          <w:sz w:val="20"/>
          <w:szCs w:val="20"/>
        </w:rPr>
        <w:t> </w:t>
      </w:r>
      <w:hyperlink r:id="rId22" w:tooltip="Poder legislativo" w:history="1">
        <w:r w:rsidRPr="0041352C">
          <w:rPr>
            <w:rStyle w:val="Hipervnculo"/>
            <w:rFonts w:ascii="Verdana" w:hAnsi="Verdana" w:cs="Arial"/>
            <w:color w:val="auto"/>
            <w:sz w:val="20"/>
            <w:szCs w:val="20"/>
            <w:u w:val="none"/>
          </w:rPr>
          <w:t>función legislativa</w:t>
        </w:r>
      </w:hyperlink>
      <w:r w:rsidRPr="0041352C">
        <w:rPr>
          <w:rStyle w:val="apple-converted-space"/>
          <w:rFonts w:ascii="Verdana" w:hAnsi="Verdana" w:cs="Arial"/>
          <w:sz w:val="20"/>
          <w:szCs w:val="20"/>
        </w:rPr>
        <w:t> </w:t>
      </w:r>
      <w:r w:rsidRPr="0041352C">
        <w:rPr>
          <w:rFonts w:ascii="Verdana" w:hAnsi="Verdana"/>
          <w:sz w:val="20"/>
          <w:szCs w:val="20"/>
        </w:rPr>
        <w:t>ni la</w:t>
      </w:r>
      <w:r w:rsidRPr="0041352C">
        <w:rPr>
          <w:rStyle w:val="apple-converted-space"/>
          <w:rFonts w:ascii="Verdana" w:hAnsi="Verdana" w:cs="Arial"/>
          <w:sz w:val="20"/>
          <w:szCs w:val="20"/>
        </w:rPr>
        <w:t> </w:t>
      </w:r>
      <w:hyperlink r:id="rId23" w:tooltip="Poder judicial" w:history="1">
        <w:r w:rsidRPr="0041352C">
          <w:rPr>
            <w:rStyle w:val="Hipervnculo"/>
            <w:rFonts w:ascii="Verdana" w:hAnsi="Verdana" w:cs="Arial"/>
            <w:color w:val="auto"/>
            <w:sz w:val="20"/>
            <w:szCs w:val="20"/>
            <w:u w:val="none"/>
          </w:rPr>
          <w:t>función judicial</w:t>
        </w:r>
      </w:hyperlink>
      <w:r w:rsidRPr="0041352C">
        <w:rPr>
          <w:rFonts w:ascii="Verdana" w:hAnsi="Verdana"/>
          <w:sz w:val="20"/>
          <w:szCs w:val="20"/>
        </w:rPr>
        <w:t xml:space="preserve"> del Estado.</w:t>
      </w:r>
    </w:p>
    <w:p w:rsidR="00FD0FB4" w:rsidRPr="0041352C" w:rsidRDefault="00FD0FB4" w:rsidP="00FD0FB4">
      <w:pPr>
        <w:jc w:val="both"/>
        <w:rPr>
          <w:rFonts w:ascii="Verdana" w:hAnsi="Verdana"/>
          <w:sz w:val="20"/>
          <w:szCs w:val="20"/>
        </w:rPr>
      </w:pPr>
    </w:p>
    <w:p w:rsidR="00FD0FB4" w:rsidRPr="0041352C" w:rsidRDefault="00FD0FB4" w:rsidP="00FD0FB4">
      <w:pPr>
        <w:pBdr>
          <w:bottom w:val="single" w:sz="6" w:space="2" w:color="AAAAAA"/>
        </w:pBdr>
        <w:shd w:val="clear" w:color="auto" w:fill="FFFFFF"/>
        <w:spacing w:after="144" w:line="285" w:lineRule="atLeast"/>
        <w:outlineLvl w:val="1"/>
        <w:rPr>
          <w:rFonts w:ascii="Verdana" w:eastAsia="Times New Roman" w:hAnsi="Verdana" w:cs="Arial"/>
          <w:b/>
          <w:color w:val="000000"/>
          <w:sz w:val="20"/>
          <w:szCs w:val="20"/>
          <w:lang w:eastAsia="es-GT"/>
        </w:rPr>
      </w:pPr>
      <w:r w:rsidRPr="0041352C">
        <w:rPr>
          <w:rFonts w:ascii="Verdana" w:eastAsia="Times New Roman" w:hAnsi="Verdana" w:cs="Arial"/>
          <w:b/>
          <w:color w:val="000000"/>
          <w:sz w:val="20"/>
          <w:szCs w:val="20"/>
          <w:lang w:eastAsia="es-GT"/>
        </w:rPr>
        <w:t>Nueva gestión pública</w:t>
      </w:r>
    </w:p>
    <w:p w:rsidR="00FD0FB4" w:rsidRPr="0041352C" w:rsidRDefault="00FD0FB4" w:rsidP="0020543A">
      <w:pPr>
        <w:shd w:val="clear" w:color="auto" w:fill="FFFFFF"/>
        <w:spacing w:before="96" w:after="120" w:line="285" w:lineRule="atLeast"/>
        <w:jc w:val="both"/>
        <w:rPr>
          <w:rFonts w:ascii="Verdana" w:eastAsia="Times New Roman" w:hAnsi="Verdana" w:cs="Arial"/>
          <w:color w:val="000000"/>
          <w:sz w:val="20"/>
          <w:szCs w:val="20"/>
          <w:lang w:eastAsia="es-GT"/>
        </w:rPr>
      </w:pPr>
      <w:r w:rsidRPr="0041352C">
        <w:rPr>
          <w:rFonts w:ascii="Verdana" w:eastAsia="Times New Roman" w:hAnsi="Verdana" w:cs="Arial"/>
          <w:color w:val="000000"/>
          <w:sz w:val="20"/>
          <w:szCs w:val="20"/>
          <w:lang w:eastAsia="es-GT"/>
        </w:rPr>
        <w:t>Es una serie de reformas administrativas que involucran una gestión por objetivos que usa indicadores cuantitativos, uso de la privatización, separación entre clientes y contratistas, la desintegración de instituciones administrativas tradicionales, el enfoque de estados como productor de servicios públicos, uso de incentivos en salarios, costos reducidos y mayor disciplina presupuestaria. Usa la evaluación como instrumento para mejorar el proceso.</w:t>
      </w:r>
      <w:r w:rsidR="0020543A" w:rsidRPr="0041352C">
        <w:rPr>
          <w:rFonts w:ascii="Verdana" w:eastAsia="Times New Roman" w:hAnsi="Verdana" w:cs="Arial"/>
          <w:color w:val="000000"/>
          <w:sz w:val="20"/>
          <w:szCs w:val="20"/>
          <w:lang w:eastAsia="es-GT"/>
        </w:rPr>
        <w:t xml:space="preserve"> </w:t>
      </w:r>
    </w:p>
    <w:p w:rsidR="00FD0FB4" w:rsidRPr="0041352C" w:rsidRDefault="00FD0FB4" w:rsidP="0020543A">
      <w:pPr>
        <w:shd w:val="clear" w:color="auto" w:fill="FFFFFF"/>
        <w:spacing w:before="96" w:after="120" w:line="285" w:lineRule="atLeast"/>
        <w:jc w:val="both"/>
        <w:rPr>
          <w:rFonts w:ascii="Verdana" w:eastAsia="Times New Roman" w:hAnsi="Verdana" w:cs="Arial"/>
          <w:color w:val="000000"/>
          <w:sz w:val="20"/>
          <w:szCs w:val="20"/>
          <w:lang w:eastAsia="es-GT"/>
        </w:rPr>
      </w:pPr>
      <w:r w:rsidRPr="0041352C">
        <w:rPr>
          <w:rFonts w:ascii="Verdana" w:eastAsia="Times New Roman" w:hAnsi="Verdana" w:cs="Arial"/>
          <w:color w:val="000000"/>
          <w:sz w:val="20"/>
          <w:szCs w:val="20"/>
          <w:lang w:eastAsia="es-GT"/>
        </w:rPr>
        <w:t>La nueva gestión pública tiene cuatro métodos:</w:t>
      </w:r>
    </w:p>
    <w:p w:rsidR="00FD0FB4" w:rsidRPr="0041352C" w:rsidRDefault="00FD0FB4" w:rsidP="00FD0FB4">
      <w:pPr>
        <w:numPr>
          <w:ilvl w:val="0"/>
          <w:numId w:val="1"/>
        </w:numPr>
        <w:shd w:val="clear" w:color="auto" w:fill="FFFFFF"/>
        <w:spacing w:before="100" w:beforeAutospacing="1" w:after="24" w:line="285" w:lineRule="atLeast"/>
        <w:ind w:left="384"/>
        <w:rPr>
          <w:rFonts w:ascii="Verdana" w:eastAsia="Times New Roman" w:hAnsi="Verdana" w:cs="Arial"/>
          <w:color w:val="000000"/>
          <w:sz w:val="20"/>
          <w:szCs w:val="20"/>
          <w:lang w:eastAsia="es-GT"/>
        </w:rPr>
      </w:pPr>
      <w:r w:rsidRPr="0041352C">
        <w:rPr>
          <w:rFonts w:ascii="Verdana" w:eastAsia="Times New Roman" w:hAnsi="Verdana" w:cs="Arial"/>
          <w:color w:val="000000"/>
          <w:sz w:val="20"/>
          <w:szCs w:val="20"/>
          <w:lang w:eastAsia="es-GT"/>
        </w:rPr>
        <w:lastRenderedPageBreak/>
        <w:t>La delegación de la toma de decisiones en jerarquías inferiores como agencias operativas, organismos regionales, gobiernos subnacionales pues éstos están más próximos al problema y tienen objetivos más claros.</w:t>
      </w:r>
    </w:p>
    <w:p w:rsidR="00FD0FB4" w:rsidRPr="0041352C" w:rsidRDefault="00FD0FB4" w:rsidP="00FD0FB4">
      <w:pPr>
        <w:numPr>
          <w:ilvl w:val="0"/>
          <w:numId w:val="1"/>
        </w:numPr>
        <w:shd w:val="clear" w:color="auto" w:fill="FFFFFF"/>
        <w:spacing w:before="100" w:beforeAutospacing="1" w:after="24" w:line="285" w:lineRule="atLeast"/>
        <w:ind w:left="384"/>
        <w:rPr>
          <w:rFonts w:ascii="Verdana" w:eastAsia="Times New Roman" w:hAnsi="Verdana" w:cs="Arial"/>
          <w:color w:val="000000"/>
          <w:sz w:val="20"/>
          <w:szCs w:val="20"/>
          <w:lang w:eastAsia="es-GT"/>
        </w:rPr>
      </w:pPr>
      <w:r w:rsidRPr="0041352C">
        <w:rPr>
          <w:rFonts w:ascii="Verdana" w:eastAsia="Times New Roman" w:hAnsi="Verdana" w:cs="Arial"/>
          <w:color w:val="000000"/>
          <w:sz w:val="20"/>
          <w:szCs w:val="20"/>
          <w:lang w:eastAsia="es-GT"/>
        </w:rPr>
        <w:t>Una orientación hacia el desempeño que comienza desde los insumos y el cumplimiento legal hasta los incentivos y los productos.</w:t>
      </w:r>
    </w:p>
    <w:p w:rsidR="00FD0FB4" w:rsidRPr="0041352C" w:rsidRDefault="00FD0FB4" w:rsidP="00FD0FB4">
      <w:pPr>
        <w:numPr>
          <w:ilvl w:val="0"/>
          <w:numId w:val="1"/>
        </w:numPr>
        <w:shd w:val="clear" w:color="auto" w:fill="FFFFFF"/>
        <w:spacing w:before="100" w:beforeAutospacing="1" w:after="24" w:line="285" w:lineRule="atLeast"/>
        <w:ind w:left="384"/>
        <w:rPr>
          <w:rFonts w:ascii="Verdana" w:eastAsia="Times New Roman" w:hAnsi="Verdana" w:cs="Arial"/>
          <w:color w:val="000000"/>
          <w:sz w:val="20"/>
          <w:szCs w:val="20"/>
          <w:lang w:eastAsia="es-GT"/>
        </w:rPr>
      </w:pPr>
      <w:r w:rsidRPr="0041352C">
        <w:rPr>
          <w:rFonts w:ascii="Verdana" w:eastAsia="Times New Roman" w:hAnsi="Verdana" w:cs="Arial"/>
          <w:color w:val="000000"/>
          <w:sz w:val="20"/>
          <w:szCs w:val="20"/>
          <w:lang w:eastAsia="es-GT"/>
        </w:rPr>
        <w:t>Un mayor orientación hacia el cliente bajo las estrategias de informar y escuchar al cliente para comprender lo que quieren los ciudadanos y responder con buenos servicios.</w:t>
      </w:r>
    </w:p>
    <w:p w:rsidR="00FD0FB4" w:rsidRPr="0041352C" w:rsidRDefault="00FD0FB4" w:rsidP="00FD0FB4">
      <w:pPr>
        <w:numPr>
          <w:ilvl w:val="0"/>
          <w:numId w:val="1"/>
        </w:numPr>
        <w:shd w:val="clear" w:color="auto" w:fill="FFFFFF"/>
        <w:spacing w:before="100" w:beforeAutospacing="1" w:after="24" w:line="285" w:lineRule="atLeast"/>
        <w:ind w:left="384"/>
        <w:rPr>
          <w:rFonts w:ascii="Verdana" w:eastAsia="Times New Roman" w:hAnsi="Verdana" w:cs="Arial"/>
          <w:color w:val="000000"/>
          <w:sz w:val="20"/>
          <w:szCs w:val="20"/>
          <w:lang w:eastAsia="es-GT"/>
        </w:rPr>
      </w:pPr>
      <w:r w:rsidRPr="0041352C">
        <w:rPr>
          <w:rFonts w:ascii="Verdana" w:eastAsia="Times New Roman" w:hAnsi="Verdana" w:cs="Arial"/>
          <w:color w:val="000000"/>
          <w:sz w:val="20"/>
          <w:szCs w:val="20"/>
          <w:lang w:eastAsia="es-GT"/>
        </w:rPr>
        <w:t>Una mayor orientación de mercado, aprovechando los mercados o cuasi-mercados (a través de contratos de gestión y personal), la competencia entre los organismos públicos, el cobro entre los organismos y la externalización, mejoran los incentivos orientados al desempeño.</w:t>
      </w:r>
    </w:p>
    <w:p w:rsidR="00FD0FB4" w:rsidRPr="0041352C" w:rsidRDefault="00FD0FB4" w:rsidP="00FD0FB4">
      <w:pPr>
        <w:jc w:val="both"/>
        <w:rPr>
          <w:rFonts w:ascii="Verdana" w:hAnsi="Verdana"/>
          <w:sz w:val="20"/>
          <w:szCs w:val="20"/>
        </w:rPr>
      </w:pPr>
    </w:p>
    <w:p w:rsidR="00932CB9" w:rsidRPr="0041352C" w:rsidRDefault="00932CB9" w:rsidP="00932CB9">
      <w:pPr>
        <w:jc w:val="both"/>
        <w:rPr>
          <w:rFonts w:ascii="Verdana" w:hAnsi="Verdana" w:cs="Arial"/>
          <w:sz w:val="20"/>
          <w:szCs w:val="20"/>
        </w:rPr>
      </w:pPr>
    </w:p>
    <w:p w:rsidR="00932CB9" w:rsidRPr="0041352C" w:rsidRDefault="00932CB9" w:rsidP="00932CB9">
      <w:pPr>
        <w:jc w:val="both"/>
        <w:rPr>
          <w:rFonts w:ascii="Verdana" w:hAnsi="Verdana" w:cs="Arial"/>
          <w:b/>
          <w:sz w:val="20"/>
          <w:szCs w:val="20"/>
        </w:rPr>
      </w:pPr>
      <w:r w:rsidRPr="0041352C">
        <w:rPr>
          <w:rFonts w:ascii="Verdana" w:hAnsi="Verdana" w:cs="Arial"/>
          <w:b/>
          <w:sz w:val="20"/>
          <w:szCs w:val="20"/>
        </w:rPr>
        <w:t>Descripción del Curso</w:t>
      </w:r>
    </w:p>
    <w:p w:rsidR="00D71055" w:rsidRPr="0041352C" w:rsidRDefault="007D6277" w:rsidP="00932CB9">
      <w:pPr>
        <w:autoSpaceDE w:val="0"/>
        <w:autoSpaceDN w:val="0"/>
        <w:adjustRightInd w:val="0"/>
        <w:jc w:val="both"/>
        <w:rPr>
          <w:rFonts w:ascii="Verdana" w:hAnsi="Verdana" w:cs="Arial"/>
          <w:sz w:val="20"/>
          <w:szCs w:val="20"/>
        </w:rPr>
      </w:pPr>
      <w:r w:rsidRPr="0041352C">
        <w:rPr>
          <w:rFonts w:ascii="Verdana" w:hAnsi="Verdana" w:cs="Arial"/>
          <w:sz w:val="20"/>
          <w:szCs w:val="20"/>
        </w:rPr>
        <w:t>El curso de Administración Pública y Geografía social, incidirá en los conocimientos del aparato Gubernamental, su funcionamiento y los objetivos por los cuales esta realizando su gestión en la dinámica Estatal, se centrará principalmente en conocer cuáles son los diferentes estratos de toma de decisiones, desde el nivel nacional, regional, departamental, municipal, microregional y comunitario</w:t>
      </w:r>
      <w:r w:rsidR="00D71055" w:rsidRPr="0041352C">
        <w:rPr>
          <w:rFonts w:ascii="Verdana" w:hAnsi="Verdana" w:cs="Arial"/>
          <w:sz w:val="20"/>
          <w:szCs w:val="20"/>
        </w:rPr>
        <w:t xml:space="preserve">.  Los diferentes procesos y leyes de funcionamiento Gubernamental como Consejos de Desarrollo;  Descentralización, Gestión por Resultados, Transparencia, Acceso a la Información Pública, entre otras.  </w:t>
      </w:r>
    </w:p>
    <w:p w:rsidR="00D71055" w:rsidRPr="0041352C" w:rsidRDefault="00D71055" w:rsidP="00932CB9">
      <w:pPr>
        <w:autoSpaceDE w:val="0"/>
        <w:autoSpaceDN w:val="0"/>
        <w:adjustRightInd w:val="0"/>
        <w:jc w:val="both"/>
        <w:rPr>
          <w:rFonts w:ascii="Verdana" w:hAnsi="Verdana" w:cs="Arial"/>
          <w:sz w:val="20"/>
          <w:szCs w:val="20"/>
        </w:rPr>
      </w:pPr>
      <w:r w:rsidRPr="0041352C">
        <w:rPr>
          <w:rFonts w:ascii="Verdana" w:hAnsi="Verdana" w:cs="Arial"/>
          <w:sz w:val="20"/>
          <w:szCs w:val="20"/>
        </w:rPr>
        <w:t xml:space="preserve">La </w:t>
      </w:r>
      <w:r w:rsidR="002D46B5" w:rsidRPr="0041352C">
        <w:rPr>
          <w:rFonts w:ascii="Verdana" w:hAnsi="Verdana" w:cs="Arial"/>
          <w:sz w:val="20"/>
          <w:szCs w:val="20"/>
        </w:rPr>
        <w:t>Geografía</w:t>
      </w:r>
      <w:r w:rsidRPr="0041352C">
        <w:rPr>
          <w:rFonts w:ascii="Verdana" w:hAnsi="Verdana" w:cs="Arial"/>
          <w:sz w:val="20"/>
          <w:szCs w:val="20"/>
        </w:rPr>
        <w:t xml:space="preserve"> Social, se enfocará en conocer cuáles son los componentes de la descripción del territorio y su interacción con la Sociedad.  Se enfocará en conocer la historia de la </w:t>
      </w:r>
      <w:r w:rsidR="002D46B5" w:rsidRPr="0041352C">
        <w:rPr>
          <w:rFonts w:ascii="Verdana" w:hAnsi="Verdana" w:cs="Arial"/>
          <w:sz w:val="20"/>
          <w:szCs w:val="20"/>
        </w:rPr>
        <w:t>geografía</w:t>
      </w:r>
      <w:r w:rsidRPr="0041352C">
        <w:rPr>
          <w:rFonts w:ascii="Verdana" w:hAnsi="Verdana" w:cs="Arial"/>
          <w:sz w:val="20"/>
          <w:szCs w:val="20"/>
        </w:rPr>
        <w:t xml:space="preserve"> a nivel nacional, el análisis de la geografía social en diferentes temas</w:t>
      </w:r>
      <w:r w:rsidR="00223D13" w:rsidRPr="0041352C">
        <w:rPr>
          <w:rFonts w:ascii="Verdana" w:hAnsi="Verdana" w:cs="Arial"/>
          <w:sz w:val="20"/>
          <w:szCs w:val="20"/>
        </w:rPr>
        <w:t xml:space="preserve"> para conocer y analizar de forma conjunta el territorio.  </w:t>
      </w:r>
      <w:r w:rsidR="002D46B5" w:rsidRPr="0041352C">
        <w:rPr>
          <w:rFonts w:ascii="Verdana" w:hAnsi="Verdana" w:cs="Arial"/>
          <w:sz w:val="20"/>
          <w:szCs w:val="20"/>
        </w:rPr>
        <w:t>Se conocerán los datos de los diferentes censos poblacionales, censos temáticos que se han realizado en nuestro país, los procesos que se han llevado a cabo para realizar el Censo de Población y Habitación 2013</w:t>
      </w:r>
      <w:r w:rsidR="00884C9C" w:rsidRPr="0041352C">
        <w:rPr>
          <w:rFonts w:ascii="Verdana" w:hAnsi="Verdana" w:cs="Arial"/>
          <w:sz w:val="20"/>
          <w:szCs w:val="20"/>
        </w:rPr>
        <w:t xml:space="preserve">.  Los procesos de geografía social, deben analizarse también desde el punto de vista municipal y comunitario, analizando la información Oficial del Instituto Nacional de Estadística, el Centro de Salud y los Censos realizados por los Gobiernos Municipales. </w:t>
      </w:r>
    </w:p>
    <w:p w:rsidR="00932CB9" w:rsidRPr="0041352C" w:rsidRDefault="00932CB9" w:rsidP="00932CB9">
      <w:pPr>
        <w:autoSpaceDE w:val="0"/>
        <w:autoSpaceDN w:val="0"/>
        <w:adjustRightInd w:val="0"/>
        <w:jc w:val="both"/>
        <w:rPr>
          <w:rFonts w:ascii="Verdana" w:hAnsi="Verdana" w:cs="Arial"/>
          <w:sz w:val="20"/>
          <w:szCs w:val="20"/>
        </w:rPr>
      </w:pPr>
    </w:p>
    <w:p w:rsidR="00932CB9" w:rsidRPr="0041352C" w:rsidRDefault="00932CB9" w:rsidP="00932CB9">
      <w:pPr>
        <w:autoSpaceDE w:val="0"/>
        <w:autoSpaceDN w:val="0"/>
        <w:adjustRightInd w:val="0"/>
        <w:jc w:val="both"/>
        <w:rPr>
          <w:rFonts w:ascii="Verdana" w:hAnsi="Verdana" w:cs="Arial"/>
          <w:b/>
          <w:sz w:val="20"/>
          <w:szCs w:val="20"/>
        </w:rPr>
      </w:pPr>
      <w:r w:rsidRPr="0041352C">
        <w:rPr>
          <w:rFonts w:ascii="Verdana" w:hAnsi="Verdana" w:cs="Arial"/>
          <w:b/>
          <w:sz w:val="20"/>
          <w:szCs w:val="20"/>
        </w:rPr>
        <w:t>Objetivos del Curso</w:t>
      </w:r>
    </w:p>
    <w:p w:rsidR="00932CB9" w:rsidRPr="0041352C" w:rsidRDefault="00932CB9" w:rsidP="00932CB9">
      <w:pPr>
        <w:autoSpaceDE w:val="0"/>
        <w:autoSpaceDN w:val="0"/>
        <w:adjustRightInd w:val="0"/>
        <w:jc w:val="both"/>
        <w:rPr>
          <w:rFonts w:ascii="Verdana" w:hAnsi="Verdana" w:cs="Arial"/>
          <w:sz w:val="20"/>
          <w:szCs w:val="20"/>
        </w:rPr>
      </w:pPr>
      <w:r w:rsidRPr="0041352C">
        <w:rPr>
          <w:rFonts w:ascii="Verdana" w:hAnsi="Verdana" w:cs="Arial"/>
          <w:b/>
          <w:sz w:val="20"/>
          <w:szCs w:val="20"/>
        </w:rPr>
        <w:t>General:</w:t>
      </w:r>
      <w:r w:rsidRPr="0041352C">
        <w:rPr>
          <w:rFonts w:ascii="Verdana" w:hAnsi="Verdana" w:cs="Arial"/>
          <w:sz w:val="20"/>
          <w:szCs w:val="20"/>
        </w:rPr>
        <w:t xml:space="preserve"> El estudiante</w:t>
      </w:r>
      <w:r w:rsidR="006C3CE1" w:rsidRPr="0041352C">
        <w:rPr>
          <w:rFonts w:ascii="Verdana" w:hAnsi="Verdana" w:cs="Arial"/>
          <w:sz w:val="20"/>
          <w:szCs w:val="20"/>
        </w:rPr>
        <w:t xml:space="preserve"> describe el funcionamiento lógico de la administración pública en Guatemala, aplicando metodologías descriptivas y cuantitativas de</w:t>
      </w:r>
      <w:r w:rsidR="00BC494B" w:rsidRPr="0041352C">
        <w:rPr>
          <w:rFonts w:ascii="Verdana" w:hAnsi="Verdana" w:cs="Arial"/>
          <w:sz w:val="20"/>
          <w:szCs w:val="20"/>
        </w:rPr>
        <w:t xml:space="preserve"> geografía social</w:t>
      </w:r>
      <w:r w:rsidR="00BF16C6" w:rsidRPr="0041352C">
        <w:rPr>
          <w:rFonts w:ascii="Verdana" w:hAnsi="Verdana" w:cs="Arial"/>
          <w:sz w:val="20"/>
          <w:szCs w:val="20"/>
        </w:rPr>
        <w:t xml:space="preserve"> para comprender las dinámicas del territorio.  </w:t>
      </w:r>
    </w:p>
    <w:p w:rsidR="00932CB9" w:rsidRPr="0041352C" w:rsidRDefault="00932CB9" w:rsidP="00932CB9">
      <w:pPr>
        <w:autoSpaceDE w:val="0"/>
        <w:autoSpaceDN w:val="0"/>
        <w:adjustRightInd w:val="0"/>
        <w:jc w:val="both"/>
        <w:rPr>
          <w:rFonts w:ascii="Verdana" w:hAnsi="Verdana" w:cs="Arial"/>
          <w:sz w:val="20"/>
          <w:szCs w:val="20"/>
        </w:rPr>
      </w:pPr>
    </w:p>
    <w:p w:rsidR="00932CB9" w:rsidRPr="0041352C" w:rsidRDefault="00932CB9" w:rsidP="00932CB9">
      <w:pPr>
        <w:autoSpaceDE w:val="0"/>
        <w:autoSpaceDN w:val="0"/>
        <w:adjustRightInd w:val="0"/>
        <w:jc w:val="both"/>
        <w:rPr>
          <w:rFonts w:ascii="Verdana" w:hAnsi="Verdana" w:cs="Arial"/>
          <w:b/>
          <w:sz w:val="20"/>
          <w:szCs w:val="20"/>
        </w:rPr>
      </w:pPr>
      <w:r w:rsidRPr="0041352C">
        <w:rPr>
          <w:rFonts w:ascii="Verdana" w:hAnsi="Verdana" w:cs="Arial"/>
          <w:b/>
          <w:sz w:val="20"/>
          <w:szCs w:val="20"/>
        </w:rPr>
        <w:t>Específicos:</w:t>
      </w:r>
    </w:p>
    <w:p w:rsidR="00932CB9" w:rsidRPr="0041352C" w:rsidRDefault="0020543A" w:rsidP="00932CB9">
      <w:pPr>
        <w:numPr>
          <w:ilvl w:val="0"/>
          <w:numId w:val="4"/>
        </w:numPr>
        <w:autoSpaceDE w:val="0"/>
        <w:autoSpaceDN w:val="0"/>
        <w:adjustRightInd w:val="0"/>
        <w:spacing w:after="0" w:line="240" w:lineRule="auto"/>
        <w:jc w:val="both"/>
        <w:rPr>
          <w:rFonts w:ascii="Verdana" w:hAnsi="Verdana" w:cs="Arial"/>
          <w:sz w:val="20"/>
          <w:szCs w:val="20"/>
        </w:rPr>
      </w:pPr>
      <w:r w:rsidRPr="0041352C">
        <w:rPr>
          <w:rFonts w:ascii="Verdana" w:hAnsi="Verdana" w:cs="Arial"/>
          <w:sz w:val="20"/>
          <w:szCs w:val="20"/>
        </w:rPr>
        <w:t xml:space="preserve">Conocer </w:t>
      </w:r>
      <w:r w:rsidR="00A03056" w:rsidRPr="0041352C">
        <w:rPr>
          <w:rFonts w:ascii="Verdana" w:hAnsi="Verdana" w:cs="Arial"/>
          <w:sz w:val="20"/>
          <w:szCs w:val="20"/>
        </w:rPr>
        <w:t xml:space="preserve">el proceso de administración </w:t>
      </w:r>
      <w:r w:rsidR="006D19C7" w:rsidRPr="0041352C">
        <w:rPr>
          <w:rFonts w:ascii="Verdana" w:hAnsi="Verdana" w:cs="Arial"/>
          <w:sz w:val="20"/>
          <w:szCs w:val="20"/>
        </w:rPr>
        <w:t xml:space="preserve">pública nivel nacional, </w:t>
      </w:r>
      <w:r w:rsidR="00A10263" w:rsidRPr="0041352C">
        <w:rPr>
          <w:rFonts w:ascii="Verdana" w:hAnsi="Verdana" w:cs="Arial"/>
          <w:sz w:val="20"/>
          <w:szCs w:val="20"/>
        </w:rPr>
        <w:t xml:space="preserve">regional, </w:t>
      </w:r>
      <w:r w:rsidR="006D19C7" w:rsidRPr="0041352C">
        <w:rPr>
          <w:rFonts w:ascii="Verdana" w:hAnsi="Verdana" w:cs="Arial"/>
          <w:sz w:val="20"/>
          <w:szCs w:val="20"/>
        </w:rPr>
        <w:t>departamental, municipal</w:t>
      </w:r>
      <w:r w:rsidR="00932CB9" w:rsidRPr="0041352C">
        <w:rPr>
          <w:rFonts w:ascii="Verdana" w:hAnsi="Verdana" w:cs="Arial"/>
          <w:sz w:val="20"/>
          <w:szCs w:val="20"/>
        </w:rPr>
        <w:t xml:space="preserve">. </w:t>
      </w:r>
    </w:p>
    <w:p w:rsidR="00932CB9" w:rsidRPr="0041352C" w:rsidRDefault="00AC7E77" w:rsidP="00932CB9">
      <w:pPr>
        <w:numPr>
          <w:ilvl w:val="0"/>
          <w:numId w:val="4"/>
        </w:numPr>
        <w:autoSpaceDE w:val="0"/>
        <w:autoSpaceDN w:val="0"/>
        <w:adjustRightInd w:val="0"/>
        <w:spacing w:after="0" w:line="240" w:lineRule="auto"/>
        <w:jc w:val="both"/>
        <w:rPr>
          <w:rFonts w:ascii="Verdana" w:hAnsi="Verdana" w:cs="Arial"/>
          <w:sz w:val="20"/>
          <w:szCs w:val="20"/>
        </w:rPr>
      </w:pPr>
      <w:r w:rsidRPr="0041352C">
        <w:rPr>
          <w:rFonts w:ascii="Verdana" w:hAnsi="Verdana" w:cs="Arial"/>
          <w:sz w:val="20"/>
          <w:szCs w:val="20"/>
        </w:rPr>
        <w:t>Realizar procesos prácticos de cartografía social</w:t>
      </w:r>
      <w:r w:rsidR="001C454E" w:rsidRPr="0041352C">
        <w:rPr>
          <w:rFonts w:ascii="Verdana" w:hAnsi="Verdana" w:cs="Arial"/>
          <w:sz w:val="20"/>
          <w:szCs w:val="20"/>
        </w:rPr>
        <w:t xml:space="preserve"> a nivel urbano y rural</w:t>
      </w:r>
      <w:r w:rsidR="00932CB9" w:rsidRPr="0041352C">
        <w:rPr>
          <w:rFonts w:ascii="Verdana" w:hAnsi="Verdana" w:cs="Arial"/>
          <w:sz w:val="20"/>
          <w:szCs w:val="20"/>
        </w:rPr>
        <w:t>.</w:t>
      </w:r>
    </w:p>
    <w:p w:rsidR="00932CB9" w:rsidRPr="0041352C" w:rsidRDefault="00445C5D" w:rsidP="00932CB9">
      <w:pPr>
        <w:numPr>
          <w:ilvl w:val="0"/>
          <w:numId w:val="4"/>
        </w:numPr>
        <w:autoSpaceDE w:val="0"/>
        <w:autoSpaceDN w:val="0"/>
        <w:adjustRightInd w:val="0"/>
        <w:spacing w:after="0" w:line="240" w:lineRule="auto"/>
        <w:jc w:val="both"/>
        <w:rPr>
          <w:rFonts w:ascii="Verdana" w:hAnsi="Verdana" w:cs="Arial"/>
          <w:sz w:val="20"/>
          <w:szCs w:val="20"/>
        </w:rPr>
      </w:pPr>
      <w:r w:rsidRPr="0041352C">
        <w:rPr>
          <w:rFonts w:ascii="Verdana" w:hAnsi="Verdana" w:cs="Arial"/>
          <w:sz w:val="20"/>
          <w:szCs w:val="20"/>
        </w:rPr>
        <w:t xml:space="preserve">Conocer las herramientas necesarias para implementar y desarrollar el censo de población y </w:t>
      </w:r>
      <w:r w:rsidR="003E04FC" w:rsidRPr="0041352C">
        <w:rPr>
          <w:rFonts w:ascii="Verdana" w:hAnsi="Verdana" w:cs="Arial"/>
          <w:sz w:val="20"/>
          <w:szCs w:val="20"/>
        </w:rPr>
        <w:t xml:space="preserve"> habitación</w:t>
      </w:r>
      <w:r w:rsidR="00905280" w:rsidRPr="0041352C">
        <w:rPr>
          <w:rFonts w:ascii="Verdana" w:hAnsi="Verdana" w:cs="Arial"/>
          <w:sz w:val="20"/>
          <w:szCs w:val="20"/>
        </w:rPr>
        <w:t xml:space="preserve"> del Instituto Nacional de Estadística.</w:t>
      </w:r>
    </w:p>
    <w:p w:rsidR="00932CB9" w:rsidRPr="0041352C" w:rsidRDefault="00932CB9" w:rsidP="00932CB9">
      <w:pPr>
        <w:autoSpaceDE w:val="0"/>
        <w:autoSpaceDN w:val="0"/>
        <w:adjustRightInd w:val="0"/>
        <w:jc w:val="both"/>
        <w:rPr>
          <w:rFonts w:ascii="Verdana" w:hAnsi="Verdana" w:cs="Arial"/>
          <w:sz w:val="20"/>
          <w:szCs w:val="20"/>
        </w:rPr>
      </w:pPr>
    </w:p>
    <w:p w:rsidR="00932CB9" w:rsidRPr="0041352C" w:rsidRDefault="00932CB9" w:rsidP="00932CB9">
      <w:pPr>
        <w:autoSpaceDE w:val="0"/>
        <w:autoSpaceDN w:val="0"/>
        <w:adjustRightInd w:val="0"/>
        <w:jc w:val="both"/>
        <w:rPr>
          <w:rFonts w:ascii="Verdana" w:hAnsi="Verdana" w:cs="Arial"/>
          <w:b/>
          <w:sz w:val="20"/>
          <w:szCs w:val="20"/>
        </w:rPr>
      </w:pPr>
      <w:r w:rsidRPr="0041352C">
        <w:rPr>
          <w:rFonts w:ascii="Verdana" w:hAnsi="Verdana" w:cs="Arial"/>
          <w:b/>
          <w:sz w:val="20"/>
          <w:szCs w:val="20"/>
        </w:rPr>
        <w:t>Metodología</w:t>
      </w:r>
    </w:p>
    <w:p w:rsidR="00932CB9" w:rsidRPr="0041352C" w:rsidRDefault="00932CB9" w:rsidP="00932CB9">
      <w:pPr>
        <w:autoSpaceDE w:val="0"/>
        <w:autoSpaceDN w:val="0"/>
        <w:adjustRightInd w:val="0"/>
        <w:jc w:val="both"/>
        <w:rPr>
          <w:rFonts w:ascii="Verdana" w:hAnsi="Verdana" w:cs="Arial"/>
          <w:sz w:val="20"/>
          <w:szCs w:val="20"/>
        </w:rPr>
      </w:pPr>
      <w:r w:rsidRPr="0041352C">
        <w:rPr>
          <w:rFonts w:ascii="Verdana" w:hAnsi="Verdana" w:cs="Arial"/>
          <w:sz w:val="20"/>
          <w:szCs w:val="20"/>
        </w:rPr>
        <w:t xml:space="preserve">El proceso de enseñanza aprendizaje partirá de una base teórico - práctico, que se desarrolla en el ámbito de la realidad local, realizando ejercicios de un territorio conocido.  Se realizarán clases magistrales, exposiciones grupales e individuales, formulación de </w:t>
      </w:r>
      <w:r w:rsidR="00944A31" w:rsidRPr="0041352C">
        <w:rPr>
          <w:rFonts w:ascii="Verdana" w:hAnsi="Verdana" w:cs="Arial"/>
          <w:sz w:val="20"/>
          <w:szCs w:val="20"/>
        </w:rPr>
        <w:t>cartografía social</w:t>
      </w:r>
      <w:r w:rsidR="00773E22" w:rsidRPr="0041352C">
        <w:rPr>
          <w:rFonts w:ascii="Verdana" w:hAnsi="Verdana" w:cs="Arial"/>
          <w:sz w:val="20"/>
          <w:szCs w:val="20"/>
        </w:rPr>
        <w:t>, basado en información institucional necesaria para la toma de decisiones</w:t>
      </w:r>
      <w:r w:rsidR="007545CE" w:rsidRPr="0041352C">
        <w:rPr>
          <w:rFonts w:ascii="Verdana" w:hAnsi="Verdana" w:cs="Arial"/>
          <w:sz w:val="20"/>
          <w:szCs w:val="20"/>
        </w:rPr>
        <w:t xml:space="preserve"> de autoridades locales</w:t>
      </w:r>
      <w:r w:rsidRPr="0041352C">
        <w:rPr>
          <w:rFonts w:ascii="Verdana" w:hAnsi="Verdana" w:cs="Arial"/>
          <w:sz w:val="20"/>
          <w:szCs w:val="20"/>
        </w:rPr>
        <w:t>.</w:t>
      </w:r>
    </w:p>
    <w:p w:rsidR="00932CB9" w:rsidRPr="0041352C" w:rsidRDefault="007545CE" w:rsidP="00932CB9">
      <w:pPr>
        <w:autoSpaceDE w:val="0"/>
        <w:autoSpaceDN w:val="0"/>
        <w:adjustRightInd w:val="0"/>
        <w:jc w:val="both"/>
        <w:rPr>
          <w:rFonts w:ascii="Verdana" w:hAnsi="Verdana" w:cs="Arial"/>
          <w:sz w:val="20"/>
          <w:szCs w:val="20"/>
        </w:rPr>
      </w:pPr>
      <w:r w:rsidRPr="0041352C">
        <w:rPr>
          <w:rFonts w:ascii="Verdana" w:hAnsi="Verdana" w:cs="Arial"/>
          <w:sz w:val="20"/>
          <w:szCs w:val="20"/>
        </w:rPr>
        <w:t>El proceso de administración pública, será basado en información y publicaciones de actualidad, principalmente del Instituto Nacional de Administración Pública –INAP-</w:t>
      </w:r>
      <w:r w:rsidR="001352C7" w:rsidRPr="0041352C">
        <w:rPr>
          <w:rFonts w:ascii="Verdana" w:hAnsi="Verdana" w:cs="Arial"/>
          <w:sz w:val="20"/>
          <w:szCs w:val="20"/>
        </w:rPr>
        <w:t>, realizado con la temática y leyes como la descentrali</w:t>
      </w:r>
      <w:r w:rsidR="008E4F09" w:rsidRPr="0041352C">
        <w:rPr>
          <w:rFonts w:ascii="Verdana" w:hAnsi="Verdana" w:cs="Arial"/>
          <w:sz w:val="20"/>
          <w:szCs w:val="20"/>
        </w:rPr>
        <w:t>zación, Consejos de Desarrollo y otras que intervienen en la administración gubernamental de recursos.</w:t>
      </w:r>
    </w:p>
    <w:p w:rsidR="0072702A" w:rsidRPr="0041352C" w:rsidRDefault="0072702A" w:rsidP="00932CB9">
      <w:pPr>
        <w:autoSpaceDE w:val="0"/>
        <w:autoSpaceDN w:val="0"/>
        <w:adjustRightInd w:val="0"/>
        <w:jc w:val="both"/>
        <w:rPr>
          <w:rFonts w:ascii="Verdana" w:hAnsi="Verdana" w:cs="Arial"/>
          <w:sz w:val="20"/>
          <w:szCs w:val="20"/>
        </w:rPr>
      </w:pPr>
      <w:r w:rsidRPr="0041352C">
        <w:rPr>
          <w:rFonts w:ascii="Verdana" w:hAnsi="Verdana" w:cs="Arial"/>
          <w:sz w:val="20"/>
          <w:szCs w:val="20"/>
        </w:rPr>
        <w:t xml:space="preserve">La cartografía social se realizará tomando  como principio, conocer la cartografía actual, escalas de generación, publicación, temática, utilidades, programas, instituciones encargadas y procesos desarrollados.  </w:t>
      </w:r>
      <w:r w:rsidR="00FE0974" w:rsidRPr="0041352C">
        <w:rPr>
          <w:rFonts w:ascii="Verdana" w:hAnsi="Verdana" w:cs="Arial"/>
          <w:sz w:val="20"/>
          <w:szCs w:val="20"/>
        </w:rPr>
        <w:t xml:space="preserve">Luego de ello, se realizarán ejercicios prácticos de generación de cartografía temática social, para consolidar procesos e información que permita alcanzar los objetivos propuestos por las diferentes instituciones.   </w:t>
      </w:r>
    </w:p>
    <w:p w:rsidR="004215AB" w:rsidRPr="0041352C" w:rsidRDefault="004215AB" w:rsidP="00932CB9">
      <w:pPr>
        <w:autoSpaceDE w:val="0"/>
        <w:autoSpaceDN w:val="0"/>
        <w:adjustRightInd w:val="0"/>
        <w:jc w:val="both"/>
        <w:rPr>
          <w:rFonts w:ascii="Verdana" w:hAnsi="Verdana" w:cs="Arial"/>
          <w:sz w:val="20"/>
          <w:szCs w:val="20"/>
        </w:rPr>
      </w:pPr>
      <w:r w:rsidRPr="0041352C">
        <w:rPr>
          <w:rFonts w:ascii="Verdana" w:hAnsi="Verdana" w:cs="Arial"/>
          <w:sz w:val="20"/>
          <w:szCs w:val="20"/>
        </w:rPr>
        <w:t>Podrán realizarse ejercicios prácticos en la generación cualitativa y cuantitativa de los  restaurantes y hoteles de la ciudad de Chiquimula, como información de base para la complementariedad del área turística y el área técnica del uso del suelo.</w:t>
      </w:r>
    </w:p>
    <w:p w:rsidR="00932CB9" w:rsidRPr="0041352C" w:rsidRDefault="00932CB9" w:rsidP="00932CB9">
      <w:pPr>
        <w:autoSpaceDE w:val="0"/>
        <w:autoSpaceDN w:val="0"/>
        <w:adjustRightInd w:val="0"/>
        <w:jc w:val="both"/>
        <w:rPr>
          <w:rFonts w:ascii="Verdana" w:hAnsi="Verdana" w:cs="Arial"/>
          <w:sz w:val="20"/>
          <w:szCs w:val="20"/>
        </w:rPr>
      </w:pPr>
    </w:p>
    <w:p w:rsidR="00932CB9" w:rsidRPr="0041352C" w:rsidRDefault="00932CB9" w:rsidP="00932CB9">
      <w:pPr>
        <w:autoSpaceDE w:val="0"/>
        <w:autoSpaceDN w:val="0"/>
        <w:adjustRightInd w:val="0"/>
        <w:jc w:val="both"/>
        <w:rPr>
          <w:rFonts w:ascii="Verdana" w:hAnsi="Verdana" w:cs="Arial"/>
          <w:b/>
          <w:sz w:val="20"/>
          <w:szCs w:val="20"/>
        </w:rPr>
      </w:pPr>
      <w:r w:rsidRPr="0041352C">
        <w:rPr>
          <w:rFonts w:ascii="Verdana" w:hAnsi="Verdana" w:cs="Arial"/>
          <w:b/>
          <w:sz w:val="20"/>
          <w:szCs w:val="20"/>
        </w:rPr>
        <w:t>Contenido del Curso</w:t>
      </w:r>
    </w:p>
    <w:p w:rsidR="00932CB9" w:rsidRPr="0041352C" w:rsidRDefault="007A4F3A"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Administración Pública en Guatemala</w:t>
      </w:r>
    </w:p>
    <w:p w:rsidR="00932CB9" w:rsidRPr="0041352C" w:rsidRDefault="007A4F3A"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Los retos del gestor de la administración pública en Guatemala</w:t>
      </w:r>
      <w:r w:rsidR="00932CB9" w:rsidRPr="0041352C">
        <w:rPr>
          <w:rFonts w:ascii="Verdana" w:hAnsi="Verdana" w:cs="Arial"/>
          <w:sz w:val="20"/>
          <w:szCs w:val="20"/>
          <w:lang w:val="es-ES_tradnl"/>
        </w:rPr>
        <w:t>.</w:t>
      </w:r>
    </w:p>
    <w:p w:rsidR="00932CB9" w:rsidRPr="0041352C" w:rsidRDefault="008012CD"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Principales actores de la administración pública</w:t>
      </w:r>
      <w:r w:rsidR="00932CB9" w:rsidRPr="0041352C">
        <w:rPr>
          <w:rFonts w:ascii="Verdana" w:hAnsi="Verdana" w:cs="Arial"/>
          <w:sz w:val="20"/>
          <w:szCs w:val="20"/>
          <w:lang w:val="es-ES_tradnl"/>
        </w:rPr>
        <w:t>.</w:t>
      </w:r>
    </w:p>
    <w:p w:rsidR="00932CB9" w:rsidRPr="0041352C" w:rsidRDefault="008012CD"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Leyes y reglamentos que intervienen en la administración pública</w:t>
      </w:r>
      <w:r w:rsidR="00932CB9" w:rsidRPr="0041352C">
        <w:rPr>
          <w:rFonts w:ascii="Verdana" w:hAnsi="Verdana" w:cs="Arial"/>
          <w:sz w:val="20"/>
          <w:szCs w:val="20"/>
          <w:lang w:val="es-ES_tradnl"/>
        </w:rPr>
        <w:t>.</w:t>
      </w:r>
    </w:p>
    <w:p w:rsidR="00932CB9" w:rsidRPr="0041352C" w:rsidRDefault="008012CD"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Sistemas y su interacción en la administración pública desde el nivel nacional, regional, departamental y municipal</w:t>
      </w:r>
      <w:r w:rsidR="00932CB9" w:rsidRPr="0041352C">
        <w:rPr>
          <w:rFonts w:ascii="Verdana" w:hAnsi="Verdana" w:cs="Arial"/>
          <w:sz w:val="20"/>
          <w:szCs w:val="20"/>
          <w:lang w:val="es-ES_tradnl"/>
        </w:rPr>
        <w:t>.</w:t>
      </w:r>
    </w:p>
    <w:p w:rsidR="00932CB9" w:rsidRPr="0041352C" w:rsidRDefault="008012CD"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Sistema de Consejos de Desarrollo</w:t>
      </w:r>
      <w:r w:rsidR="00932CB9" w:rsidRPr="0041352C">
        <w:rPr>
          <w:rFonts w:ascii="Verdana" w:hAnsi="Verdana" w:cs="Arial"/>
          <w:sz w:val="20"/>
          <w:szCs w:val="20"/>
          <w:lang w:val="es-ES_tradnl"/>
        </w:rPr>
        <w:t>.</w:t>
      </w:r>
    </w:p>
    <w:p w:rsidR="009E581F" w:rsidRPr="0041352C" w:rsidRDefault="009E581F"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Los censos de población y de productividad a nivel municipal.</w:t>
      </w:r>
    </w:p>
    <w:p w:rsidR="009E581F" w:rsidRPr="0041352C" w:rsidRDefault="009E581F" w:rsidP="009E581F">
      <w:pPr>
        <w:pStyle w:val="Prrafodelista"/>
        <w:jc w:val="both"/>
        <w:rPr>
          <w:rFonts w:ascii="Verdana" w:hAnsi="Verdana" w:cs="Arial"/>
          <w:sz w:val="20"/>
          <w:szCs w:val="20"/>
          <w:lang w:val="es-ES_tradnl"/>
        </w:rPr>
      </w:pPr>
    </w:p>
    <w:p w:rsidR="00932CB9" w:rsidRPr="0041352C" w:rsidRDefault="00DF5217"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lastRenderedPageBreak/>
        <w:t>Cartografía Temática en Guatemala, orígenes, procesos, proyectos en ejecución</w:t>
      </w:r>
      <w:r w:rsidR="00932CB9" w:rsidRPr="0041352C">
        <w:rPr>
          <w:rFonts w:ascii="Verdana" w:hAnsi="Verdana" w:cs="Arial"/>
          <w:sz w:val="20"/>
          <w:szCs w:val="20"/>
          <w:lang w:val="es-ES_tradnl"/>
        </w:rPr>
        <w:t>.</w:t>
      </w:r>
    </w:p>
    <w:p w:rsidR="00B17A4A" w:rsidRPr="0041352C" w:rsidRDefault="00B17A4A" w:rsidP="00B17A4A">
      <w:pPr>
        <w:pStyle w:val="Prrafodelista"/>
        <w:jc w:val="both"/>
        <w:rPr>
          <w:rFonts w:ascii="Verdana" w:hAnsi="Verdana" w:cs="Arial"/>
          <w:sz w:val="20"/>
          <w:szCs w:val="20"/>
          <w:lang w:val="es-ES_tradnl"/>
        </w:rPr>
      </w:pPr>
    </w:p>
    <w:p w:rsidR="00932CB9" w:rsidRPr="0041352C" w:rsidRDefault="00DF5217"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Las entidades relacionadas a la cartografía temática en el país.</w:t>
      </w:r>
    </w:p>
    <w:p w:rsidR="00932CB9" w:rsidRPr="0041352C" w:rsidRDefault="00055155"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Procesos para desarrollar un censo de población a nivel nacional, conocimiento de las herramientas, prueba piloto, pruebas prácticas</w:t>
      </w:r>
      <w:r w:rsidR="00932CB9" w:rsidRPr="0041352C">
        <w:rPr>
          <w:rFonts w:ascii="Verdana" w:hAnsi="Verdana" w:cs="Arial"/>
          <w:sz w:val="20"/>
          <w:szCs w:val="20"/>
          <w:lang w:val="es-ES_tradnl"/>
        </w:rPr>
        <w:t>.</w:t>
      </w:r>
    </w:p>
    <w:p w:rsidR="00932CB9" w:rsidRPr="0041352C" w:rsidRDefault="007A3837"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 xml:space="preserve">Realización de cartografía social de hoteles y restaurantes de </w:t>
      </w:r>
      <w:r w:rsidR="00AB7063" w:rsidRPr="0041352C">
        <w:rPr>
          <w:rFonts w:ascii="Verdana" w:hAnsi="Verdana" w:cs="Arial"/>
          <w:sz w:val="20"/>
          <w:szCs w:val="20"/>
          <w:lang w:val="es-ES_tradnl"/>
        </w:rPr>
        <w:t>la ciudad de Chiquimula</w:t>
      </w:r>
      <w:r w:rsidR="00932CB9" w:rsidRPr="0041352C">
        <w:rPr>
          <w:rFonts w:ascii="Verdana" w:hAnsi="Verdana" w:cs="Arial"/>
          <w:sz w:val="20"/>
          <w:szCs w:val="20"/>
          <w:lang w:val="es-ES_tradnl"/>
        </w:rPr>
        <w:t>.</w:t>
      </w:r>
    </w:p>
    <w:p w:rsidR="00932CB9" w:rsidRPr="0041352C" w:rsidRDefault="00AB7063"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Realización del mapa de uso del suelo de la ciudad de Chiquimula</w:t>
      </w:r>
      <w:r w:rsidR="00932CB9" w:rsidRPr="0041352C">
        <w:rPr>
          <w:rFonts w:ascii="Verdana" w:hAnsi="Verdana" w:cs="Arial"/>
          <w:sz w:val="20"/>
          <w:szCs w:val="20"/>
          <w:lang w:val="es-ES_tradnl"/>
        </w:rPr>
        <w:t>.</w:t>
      </w:r>
    </w:p>
    <w:p w:rsidR="00932CB9" w:rsidRPr="0041352C" w:rsidRDefault="004406EA" w:rsidP="00932CB9">
      <w:pPr>
        <w:pStyle w:val="Prrafodelista"/>
        <w:numPr>
          <w:ilvl w:val="0"/>
          <w:numId w:val="2"/>
        </w:numPr>
        <w:jc w:val="both"/>
        <w:rPr>
          <w:rFonts w:ascii="Verdana" w:hAnsi="Verdana" w:cs="Arial"/>
          <w:sz w:val="20"/>
          <w:szCs w:val="20"/>
          <w:lang w:val="es-ES_tradnl"/>
        </w:rPr>
      </w:pPr>
      <w:r w:rsidRPr="0041352C">
        <w:rPr>
          <w:rFonts w:ascii="Verdana" w:hAnsi="Verdana" w:cs="Arial"/>
          <w:sz w:val="20"/>
          <w:szCs w:val="20"/>
          <w:lang w:val="es-ES_tradnl"/>
        </w:rPr>
        <w:t>Gestión de proyectos de cartografía social</w:t>
      </w:r>
      <w:r w:rsidR="00932CB9" w:rsidRPr="0041352C">
        <w:rPr>
          <w:rFonts w:ascii="Verdana" w:hAnsi="Verdana" w:cs="Arial"/>
          <w:sz w:val="20"/>
          <w:szCs w:val="20"/>
          <w:lang w:val="es-ES_tradnl"/>
        </w:rPr>
        <w:t>.</w:t>
      </w:r>
    </w:p>
    <w:p w:rsidR="00932CB9" w:rsidRPr="0041352C" w:rsidRDefault="00932CB9" w:rsidP="00932CB9">
      <w:pPr>
        <w:autoSpaceDE w:val="0"/>
        <w:autoSpaceDN w:val="0"/>
        <w:adjustRightInd w:val="0"/>
        <w:jc w:val="both"/>
        <w:rPr>
          <w:rFonts w:ascii="Verdana" w:hAnsi="Verdana" w:cs="Arial"/>
          <w:bCs/>
          <w:sz w:val="20"/>
          <w:szCs w:val="20"/>
        </w:rPr>
      </w:pPr>
    </w:p>
    <w:p w:rsidR="00932CB9" w:rsidRPr="0041352C" w:rsidRDefault="00932CB9" w:rsidP="00932CB9">
      <w:pPr>
        <w:autoSpaceDE w:val="0"/>
        <w:autoSpaceDN w:val="0"/>
        <w:adjustRightInd w:val="0"/>
        <w:jc w:val="both"/>
        <w:rPr>
          <w:rFonts w:ascii="Verdana" w:hAnsi="Verdana" w:cs="Arial"/>
          <w:b/>
          <w:sz w:val="20"/>
          <w:szCs w:val="20"/>
        </w:rPr>
      </w:pPr>
      <w:r w:rsidRPr="0041352C">
        <w:rPr>
          <w:rFonts w:ascii="Verdana" w:hAnsi="Verdana" w:cs="Arial"/>
          <w:b/>
          <w:sz w:val="20"/>
          <w:szCs w:val="20"/>
        </w:rPr>
        <w:t>Evaluación</w:t>
      </w:r>
    </w:p>
    <w:p w:rsidR="00932CB9" w:rsidRPr="0041352C" w:rsidRDefault="00932CB9" w:rsidP="00932CB9">
      <w:pPr>
        <w:autoSpaceDE w:val="0"/>
        <w:autoSpaceDN w:val="0"/>
        <w:adjustRightInd w:val="0"/>
        <w:jc w:val="both"/>
        <w:rPr>
          <w:rFonts w:ascii="Verdana" w:hAnsi="Verdan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410"/>
      </w:tblGrid>
      <w:tr w:rsidR="00932CB9" w:rsidRPr="0041352C" w:rsidTr="00716BC7">
        <w:trPr>
          <w:jc w:val="center"/>
        </w:trPr>
        <w:tc>
          <w:tcPr>
            <w:tcW w:w="5778" w:type="dxa"/>
          </w:tcPr>
          <w:p w:rsidR="00932CB9" w:rsidRPr="0041352C" w:rsidRDefault="00932CB9" w:rsidP="00080974">
            <w:pPr>
              <w:autoSpaceDE w:val="0"/>
              <w:autoSpaceDN w:val="0"/>
              <w:adjustRightInd w:val="0"/>
              <w:spacing w:after="0" w:line="240" w:lineRule="auto"/>
              <w:jc w:val="center"/>
              <w:rPr>
                <w:rFonts w:ascii="Verdana" w:hAnsi="Verdana" w:cs="Arial"/>
                <w:b/>
                <w:sz w:val="20"/>
                <w:szCs w:val="20"/>
              </w:rPr>
            </w:pPr>
            <w:r w:rsidRPr="0041352C">
              <w:rPr>
                <w:rFonts w:ascii="Verdana" w:hAnsi="Verdana" w:cs="Arial"/>
                <w:b/>
                <w:sz w:val="20"/>
                <w:szCs w:val="20"/>
              </w:rPr>
              <w:t>ACTIVIDADES</w:t>
            </w:r>
          </w:p>
        </w:tc>
        <w:tc>
          <w:tcPr>
            <w:tcW w:w="2410" w:type="dxa"/>
          </w:tcPr>
          <w:p w:rsidR="00932CB9" w:rsidRPr="0041352C" w:rsidRDefault="00932CB9" w:rsidP="00080974">
            <w:pPr>
              <w:autoSpaceDE w:val="0"/>
              <w:autoSpaceDN w:val="0"/>
              <w:adjustRightInd w:val="0"/>
              <w:spacing w:after="0" w:line="240" w:lineRule="auto"/>
              <w:jc w:val="center"/>
              <w:rPr>
                <w:rFonts w:ascii="Verdana" w:hAnsi="Verdana" w:cs="Arial"/>
                <w:b/>
                <w:sz w:val="20"/>
                <w:szCs w:val="20"/>
              </w:rPr>
            </w:pPr>
            <w:r w:rsidRPr="0041352C">
              <w:rPr>
                <w:rFonts w:ascii="Verdana" w:hAnsi="Verdana" w:cs="Arial"/>
                <w:b/>
                <w:sz w:val="20"/>
                <w:szCs w:val="20"/>
              </w:rPr>
              <w:t>VALOR</w:t>
            </w:r>
          </w:p>
        </w:tc>
      </w:tr>
      <w:tr w:rsidR="00932CB9" w:rsidRPr="0041352C" w:rsidTr="00716BC7">
        <w:trPr>
          <w:jc w:val="center"/>
        </w:trPr>
        <w:tc>
          <w:tcPr>
            <w:tcW w:w="5778" w:type="dxa"/>
          </w:tcPr>
          <w:p w:rsidR="00932CB9" w:rsidRPr="0041352C" w:rsidRDefault="00932CB9" w:rsidP="00080974">
            <w:pPr>
              <w:autoSpaceDE w:val="0"/>
              <w:autoSpaceDN w:val="0"/>
              <w:adjustRightInd w:val="0"/>
              <w:spacing w:after="0" w:line="240" w:lineRule="auto"/>
              <w:jc w:val="both"/>
              <w:rPr>
                <w:rFonts w:ascii="Verdana" w:hAnsi="Verdana" w:cs="Arial"/>
                <w:b/>
                <w:sz w:val="20"/>
                <w:szCs w:val="20"/>
              </w:rPr>
            </w:pPr>
            <w:r w:rsidRPr="0041352C">
              <w:rPr>
                <w:rFonts w:ascii="Verdana" w:hAnsi="Verdana" w:cs="Arial"/>
                <w:sz w:val="20"/>
                <w:szCs w:val="20"/>
              </w:rPr>
              <w:t xml:space="preserve">Dos exámenes parciales </w:t>
            </w:r>
          </w:p>
        </w:tc>
        <w:tc>
          <w:tcPr>
            <w:tcW w:w="2410" w:type="dxa"/>
          </w:tcPr>
          <w:p w:rsidR="00932CB9" w:rsidRPr="0041352C" w:rsidRDefault="00932CB9" w:rsidP="00080974">
            <w:pPr>
              <w:autoSpaceDE w:val="0"/>
              <w:autoSpaceDN w:val="0"/>
              <w:adjustRightInd w:val="0"/>
              <w:spacing w:after="0" w:line="240" w:lineRule="auto"/>
              <w:jc w:val="center"/>
              <w:rPr>
                <w:rFonts w:ascii="Verdana" w:hAnsi="Verdana" w:cs="Arial"/>
                <w:b/>
                <w:sz w:val="20"/>
                <w:szCs w:val="20"/>
              </w:rPr>
            </w:pPr>
            <w:r w:rsidRPr="0041352C">
              <w:rPr>
                <w:rFonts w:ascii="Verdana" w:hAnsi="Verdana" w:cs="Arial"/>
                <w:b/>
                <w:sz w:val="20"/>
                <w:szCs w:val="20"/>
              </w:rPr>
              <w:t>30 PUNTOS</w:t>
            </w:r>
          </w:p>
        </w:tc>
      </w:tr>
      <w:tr w:rsidR="00932CB9" w:rsidRPr="0041352C" w:rsidTr="00716BC7">
        <w:trPr>
          <w:jc w:val="center"/>
        </w:trPr>
        <w:tc>
          <w:tcPr>
            <w:tcW w:w="5778" w:type="dxa"/>
          </w:tcPr>
          <w:p w:rsidR="00932CB9" w:rsidRPr="0041352C" w:rsidRDefault="00932CB9" w:rsidP="00080974">
            <w:pPr>
              <w:autoSpaceDE w:val="0"/>
              <w:autoSpaceDN w:val="0"/>
              <w:adjustRightInd w:val="0"/>
              <w:spacing w:after="0" w:line="240" w:lineRule="auto"/>
              <w:jc w:val="both"/>
              <w:rPr>
                <w:rFonts w:ascii="Verdana" w:hAnsi="Verdana" w:cs="Arial"/>
                <w:b/>
                <w:sz w:val="20"/>
                <w:szCs w:val="20"/>
              </w:rPr>
            </w:pPr>
            <w:r w:rsidRPr="0041352C">
              <w:rPr>
                <w:rFonts w:ascii="Verdana" w:hAnsi="Verdana" w:cs="Arial"/>
                <w:sz w:val="20"/>
                <w:szCs w:val="20"/>
              </w:rPr>
              <w:t>Laboratorios</w:t>
            </w:r>
          </w:p>
        </w:tc>
        <w:tc>
          <w:tcPr>
            <w:tcW w:w="2410" w:type="dxa"/>
          </w:tcPr>
          <w:p w:rsidR="00932CB9" w:rsidRPr="0041352C" w:rsidRDefault="00932CB9" w:rsidP="00080974">
            <w:pPr>
              <w:autoSpaceDE w:val="0"/>
              <w:autoSpaceDN w:val="0"/>
              <w:adjustRightInd w:val="0"/>
              <w:spacing w:after="0" w:line="240" w:lineRule="auto"/>
              <w:jc w:val="center"/>
              <w:rPr>
                <w:rFonts w:ascii="Verdana" w:hAnsi="Verdana" w:cs="Arial"/>
                <w:b/>
                <w:sz w:val="20"/>
                <w:szCs w:val="20"/>
              </w:rPr>
            </w:pPr>
            <w:r w:rsidRPr="0041352C">
              <w:rPr>
                <w:rFonts w:ascii="Verdana" w:hAnsi="Verdana" w:cs="Arial"/>
                <w:b/>
                <w:sz w:val="20"/>
                <w:szCs w:val="20"/>
              </w:rPr>
              <w:t>15 PUNTOS</w:t>
            </w:r>
          </w:p>
        </w:tc>
      </w:tr>
      <w:tr w:rsidR="00932CB9" w:rsidRPr="0041352C" w:rsidTr="00716BC7">
        <w:trPr>
          <w:jc w:val="center"/>
        </w:trPr>
        <w:tc>
          <w:tcPr>
            <w:tcW w:w="5778" w:type="dxa"/>
          </w:tcPr>
          <w:p w:rsidR="00932CB9" w:rsidRPr="0041352C" w:rsidRDefault="00932CB9" w:rsidP="00080974">
            <w:pPr>
              <w:autoSpaceDE w:val="0"/>
              <w:autoSpaceDN w:val="0"/>
              <w:adjustRightInd w:val="0"/>
              <w:spacing w:after="0" w:line="240" w:lineRule="auto"/>
              <w:jc w:val="both"/>
              <w:rPr>
                <w:rFonts w:ascii="Verdana" w:hAnsi="Verdana" w:cs="Arial"/>
                <w:b/>
                <w:sz w:val="20"/>
                <w:szCs w:val="20"/>
              </w:rPr>
            </w:pPr>
            <w:r w:rsidRPr="0041352C">
              <w:rPr>
                <w:rFonts w:ascii="Verdana" w:hAnsi="Verdana" w:cs="Arial"/>
                <w:sz w:val="20"/>
                <w:szCs w:val="20"/>
              </w:rPr>
              <w:t>Exámenes cortos teórico-prácticos</w:t>
            </w:r>
            <w:r w:rsidRPr="0041352C">
              <w:rPr>
                <w:rFonts w:ascii="Verdana" w:hAnsi="Verdana" w:cs="Arial"/>
                <w:sz w:val="20"/>
                <w:szCs w:val="20"/>
              </w:rPr>
              <w:tab/>
            </w:r>
          </w:p>
        </w:tc>
        <w:tc>
          <w:tcPr>
            <w:tcW w:w="2410" w:type="dxa"/>
          </w:tcPr>
          <w:p w:rsidR="00932CB9" w:rsidRPr="0041352C" w:rsidRDefault="00932CB9" w:rsidP="00080974">
            <w:pPr>
              <w:autoSpaceDE w:val="0"/>
              <w:autoSpaceDN w:val="0"/>
              <w:adjustRightInd w:val="0"/>
              <w:spacing w:after="0" w:line="240" w:lineRule="auto"/>
              <w:jc w:val="center"/>
              <w:rPr>
                <w:rFonts w:ascii="Verdana" w:hAnsi="Verdana" w:cs="Arial"/>
                <w:b/>
                <w:sz w:val="20"/>
                <w:szCs w:val="20"/>
              </w:rPr>
            </w:pPr>
            <w:r w:rsidRPr="0041352C">
              <w:rPr>
                <w:rFonts w:ascii="Verdana" w:hAnsi="Verdana" w:cs="Arial"/>
                <w:b/>
                <w:sz w:val="20"/>
                <w:szCs w:val="20"/>
              </w:rPr>
              <w:t>10 PUNTOS</w:t>
            </w:r>
          </w:p>
        </w:tc>
      </w:tr>
      <w:tr w:rsidR="00932CB9" w:rsidRPr="0041352C" w:rsidTr="00716BC7">
        <w:trPr>
          <w:jc w:val="center"/>
        </w:trPr>
        <w:tc>
          <w:tcPr>
            <w:tcW w:w="5778" w:type="dxa"/>
          </w:tcPr>
          <w:p w:rsidR="00932CB9" w:rsidRPr="0041352C" w:rsidRDefault="00932CB9" w:rsidP="00C415CC">
            <w:pPr>
              <w:autoSpaceDE w:val="0"/>
              <w:autoSpaceDN w:val="0"/>
              <w:adjustRightInd w:val="0"/>
              <w:spacing w:after="0" w:line="240" w:lineRule="auto"/>
              <w:jc w:val="both"/>
              <w:rPr>
                <w:rFonts w:ascii="Verdana" w:hAnsi="Verdana" w:cs="Arial"/>
                <w:b/>
                <w:sz w:val="20"/>
                <w:szCs w:val="20"/>
              </w:rPr>
            </w:pPr>
            <w:r w:rsidRPr="0041352C">
              <w:rPr>
                <w:rFonts w:ascii="Verdana" w:hAnsi="Verdana" w:cs="Arial"/>
                <w:sz w:val="20"/>
                <w:szCs w:val="20"/>
              </w:rPr>
              <w:t xml:space="preserve">Trabajo de Investigación de </w:t>
            </w:r>
            <w:r w:rsidR="00C415CC" w:rsidRPr="0041352C">
              <w:rPr>
                <w:rFonts w:ascii="Verdana" w:hAnsi="Verdana" w:cs="Arial"/>
                <w:sz w:val="20"/>
                <w:szCs w:val="20"/>
              </w:rPr>
              <w:t>Administración pública y cartografía social</w:t>
            </w:r>
          </w:p>
        </w:tc>
        <w:tc>
          <w:tcPr>
            <w:tcW w:w="2410" w:type="dxa"/>
          </w:tcPr>
          <w:p w:rsidR="00932CB9" w:rsidRPr="0041352C" w:rsidRDefault="00932CB9" w:rsidP="00080974">
            <w:pPr>
              <w:autoSpaceDE w:val="0"/>
              <w:autoSpaceDN w:val="0"/>
              <w:adjustRightInd w:val="0"/>
              <w:spacing w:after="0" w:line="240" w:lineRule="auto"/>
              <w:jc w:val="center"/>
              <w:rPr>
                <w:rFonts w:ascii="Verdana" w:hAnsi="Verdana" w:cs="Arial"/>
                <w:b/>
                <w:sz w:val="20"/>
                <w:szCs w:val="20"/>
              </w:rPr>
            </w:pPr>
            <w:r w:rsidRPr="0041352C">
              <w:rPr>
                <w:rFonts w:ascii="Verdana" w:hAnsi="Verdana" w:cs="Arial"/>
                <w:b/>
                <w:sz w:val="20"/>
                <w:szCs w:val="20"/>
              </w:rPr>
              <w:t>15 PUNTOS</w:t>
            </w:r>
          </w:p>
        </w:tc>
      </w:tr>
      <w:tr w:rsidR="00932CB9" w:rsidRPr="0041352C" w:rsidTr="00716BC7">
        <w:trPr>
          <w:jc w:val="center"/>
        </w:trPr>
        <w:tc>
          <w:tcPr>
            <w:tcW w:w="5778" w:type="dxa"/>
          </w:tcPr>
          <w:p w:rsidR="00932CB9" w:rsidRPr="0041352C" w:rsidRDefault="00932CB9" w:rsidP="00080974">
            <w:pPr>
              <w:autoSpaceDE w:val="0"/>
              <w:autoSpaceDN w:val="0"/>
              <w:adjustRightInd w:val="0"/>
              <w:spacing w:after="0" w:line="240" w:lineRule="auto"/>
              <w:jc w:val="right"/>
              <w:rPr>
                <w:rFonts w:ascii="Verdana" w:hAnsi="Verdana" w:cs="Arial"/>
                <w:b/>
                <w:sz w:val="20"/>
                <w:szCs w:val="20"/>
              </w:rPr>
            </w:pPr>
            <w:r w:rsidRPr="0041352C">
              <w:rPr>
                <w:rFonts w:ascii="Verdana" w:hAnsi="Verdana" w:cs="Arial"/>
                <w:b/>
                <w:sz w:val="20"/>
                <w:szCs w:val="20"/>
              </w:rPr>
              <w:t>ZONA</w:t>
            </w:r>
          </w:p>
        </w:tc>
        <w:tc>
          <w:tcPr>
            <w:tcW w:w="2410" w:type="dxa"/>
          </w:tcPr>
          <w:p w:rsidR="00932CB9" w:rsidRPr="0041352C" w:rsidRDefault="00932CB9" w:rsidP="00080974">
            <w:pPr>
              <w:autoSpaceDE w:val="0"/>
              <w:autoSpaceDN w:val="0"/>
              <w:adjustRightInd w:val="0"/>
              <w:spacing w:after="0" w:line="240" w:lineRule="auto"/>
              <w:jc w:val="center"/>
              <w:rPr>
                <w:rFonts w:ascii="Verdana" w:hAnsi="Verdana" w:cs="Arial"/>
                <w:b/>
                <w:sz w:val="20"/>
                <w:szCs w:val="20"/>
              </w:rPr>
            </w:pPr>
            <w:r w:rsidRPr="0041352C">
              <w:rPr>
                <w:rFonts w:ascii="Verdana" w:hAnsi="Verdana" w:cs="Arial"/>
                <w:b/>
                <w:sz w:val="20"/>
                <w:szCs w:val="20"/>
              </w:rPr>
              <w:t>70 PUNTOS</w:t>
            </w:r>
          </w:p>
        </w:tc>
      </w:tr>
      <w:tr w:rsidR="00932CB9" w:rsidRPr="0041352C" w:rsidTr="00716BC7">
        <w:trPr>
          <w:jc w:val="center"/>
        </w:trPr>
        <w:tc>
          <w:tcPr>
            <w:tcW w:w="5778" w:type="dxa"/>
          </w:tcPr>
          <w:p w:rsidR="00932CB9" w:rsidRPr="0041352C" w:rsidRDefault="00932CB9" w:rsidP="00080974">
            <w:pPr>
              <w:autoSpaceDE w:val="0"/>
              <w:autoSpaceDN w:val="0"/>
              <w:adjustRightInd w:val="0"/>
              <w:spacing w:after="0" w:line="240" w:lineRule="auto"/>
              <w:jc w:val="right"/>
              <w:rPr>
                <w:rFonts w:ascii="Verdana" w:hAnsi="Verdana" w:cs="Arial"/>
                <w:b/>
                <w:sz w:val="20"/>
                <w:szCs w:val="20"/>
              </w:rPr>
            </w:pPr>
            <w:r w:rsidRPr="0041352C">
              <w:rPr>
                <w:rFonts w:ascii="Verdana" w:hAnsi="Verdana" w:cs="Arial"/>
                <w:b/>
                <w:sz w:val="20"/>
                <w:szCs w:val="20"/>
              </w:rPr>
              <w:t>EXAMEN FINAL</w:t>
            </w:r>
          </w:p>
        </w:tc>
        <w:tc>
          <w:tcPr>
            <w:tcW w:w="2410" w:type="dxa"/>
          </w:tcPr>
          <w:p w:rsidR="00932CB9" w:rsidRPr="0041352C" w:rsidRDefault="00932CB9" w:rsidP="00080974">
            <w:pPr>
              <w:autoSpaceDE w:val="0"/>
              <w:autoSpaceDN w:val="0"/>
              <w:adjustRightInd w:val="0"/>
              <w:spacing w:after="0" w:line="240" w:lineRule="auto"/>
              <w:jc w:val="center"/>
              <w:rPr>
                <w:rFonts w:ascii="Verdana" w:hAnsi="Verdana" w:cs="Arial"/>
                <w:b/>
                <w:sz w:val="20"/>
                <w:szCs w:val="20"/>
              </w:rPr>
            </w:pPr>
            <w:r w:rsidRPr="0041352C">
              <w:rPr>
                <w:rFonts w:ascii="Verdana" w:hAnsi="Verdana" w:cs="Arial"/>
                <w:b/>
                <w:sz w:val="20"/>
                <w:szCs w:val="20"/>
              </w:rPr>
              <w:t>30 PUNTOS</w:t>
            </w:r>
          </w:p>
        </w:tc>
      </w:tr>
      <w:tr w:rsidR="00932CB9" w:rsidRPr="0041352C" w:rsidTr="00716BC7">
        <w:trPr>
          <w:jc w:val="center"/>
        </w:trPr>
        <w:tc>
          <w:tcPr>
            <w:tcW w:w="5778" w:type="dxa"/>
          </w:tcPr>
          <w:p w:rsidR="00932CB9" w:rsidRPr="0041352C" w:rsidRDefault="00932CB9" w:rsidP="00080974">
            <w:pPr>
              <w:autoSpaceDE w:val="0"/>
              <w:autoSpaceDN w:val="0"/>
              <w:adjustRightInd w:val="0"/>
              <w:spacing w:after="0" w:line="240" w:lineRule="auto"/>
              <w:jc w:val="right"/>
              <w:rPr>
                <w:rFonts w:ascii="Verdana" w:hAnsi="Verdana" w:cs="Arial"/>
                <w:b/>
                <w:sz w:val="20"/>
                <w:szCs w:val="20"/>
              </w:rPr>
            </w:pPr>
            <w:r w:rsidRPr="0041352C">
              <w:rPr>
                <w:rFonts w:ascii="Verdana" w:hAnsi="Verdana" w:cs="Arial"/>
                <w:b/>
                <w:sz w:val="20"/>
                <w:szCs w:val="20"/>
              </w:rPr>
              <w:t xml:space="preserve">NOTA FINAL </w:t>
            </w:r>
          </w:p>
        </w:tc>
        <w:tc>
          <w:tcPr>
            <w:tcW w:w="2410" w:type="dxa"/>
          </w:tcPr>
          <w:p w:rsidR="00932CB9" w:rsidRPr="0041352C" w:rsidRDefault="00932CB9" w:rsidP="00080974">
            <w:pPr>
              <w:autoSpaceDE w:val="0"/>
              <w:autoSpaceDN w:val="0"/>
              <w:adjustRightInd w:val="0"/>
              <w:spacing w:after="0" w:line="240" w:lineRule="auto"/>
              <w:jc w:val="center"/>
              <w:rPr>
                <w:rFonts w:ascii="Verdana" w:hAnsi="Verdana" w:cs="Arial"/>
                <w:b/>
                <w:sz w:val="20"/>
                <w:szCs w:val="20"/>
              </w:rPr>
            </w:pPr>
            <w:r w:rsidRPr="0041352C">
              <w:rPr>
                <w:rFonts w:ascii="Verdana" w:hAnsi="Verdana" w:cs="Arial"/>
                <w:b/>
                <w:sz w:val="20"/>
                <w:szCs w:val="20"/>
              </w:rPr>
              <w:t>100 PUNTOS</w:t>
            </w:r>
          </w:p>
        </w:tc>
      </w:tr>
    </w:tbl>
    <w:p w:rsidR="00932CB9" w:rsidRPr="0041352C" w:rsidRDefault="00932CB9" w:rsidP="00932CB9">
      <w:pPr>
        <w:autoSpaceDE w:val="0"/>
        <w:autoSpaceDN w:val="0"/>
        <w:adjustRightInd w:val="0"/>
        <w:jc w:val="both"/>
        <w:rPr>
          <w:rFonts w:ascii="Verdana" w:hAnsi="Verdana" w:cs="Arial"/>
          <w:b/>
          <w:sz w:val="20"/>
          <w:szCs w:val="20"/>
        </w:rPr>
      </w:pPr>
    </w:p>
    <w:p w:rsidR="00932CB9" w:rsidRPr="0041352C" w:rsidRDefault="00932CB9" w:rsidP="00932CB9">
      <w:pPr>
        <w:autoSpaceDE w:val="0"/>
        <w:autoSpaceDN w:val="0"/>
        <w:adjustRightInd w:val="0"/>
        <w:jc w:val="both"/>
        <w:rPr>
          <w:rFonts w:ascii="Verdana" w:hAnsi="Verdana" w:cs="Arial"/>
          <w:b/>
          <w:sz w:val="20"/>
          <w:szCs w:val="20"/>
        </w:rPr>
      </w:pPr>
    </w:p>
    <w:p w:rsidR="00932CB9" w:rsidRPr="0041352C" w:rsidRDefault="00932CB9" w:rsidP="00932CB9">
      <w:pPr>
        <w:autoSpaceDE w:val="0"/>
        <w:autoSpaceDN w:val="0"/>
        <w:adjustRightInd w:val="0"/>
        <w:jc w:val="both"/>
        <w:rPr>
          <w:rFonts w:ascii="Verdana" w:hAnsi="Verdana" w:cs="Arial"/>
          <w:b/>
          <w:sz w:val="20"/>
          <w:szCs w:val="20"/>
        </w:rPr>
      </w:pPr>
      <w:r w:rsidRPr="0041352C">
        <w:rPr>
          <w:rFonts w:ascii="Verdana" w:hAnsi="Verdana" w:cs="Arial"/>
          <w:b/>
          <w:sz w:val="20"/>
          <w:szCs w:val="20"/>
        </w:rPr>
        <w:t>Bibliografía a consultar</w:t>
      </w:r>
    </w:p>
    <w:p w:rsidR="00932CB9" w:rsidRPr="0041352C" w:rsidRDefault="00932CB9" w:rsidP="00932CB9">
      <w:pPr>
        <w:autoSpaceDE w:val="0"/>
        <w:autoSpaceDN w:val="0"/>
        <w:adjustRightInd w:val="0"/>
        <w:jc w:val="both"/>
        <w:rPr>
          <w:rFonts w:ascii="Verdana" w:hAnsi="Verdana" w:cs="Arial"/>
          <w:sz w:val="20"/>
          <w:szCs w:val="20"/>
        </w:rPr>
      </w:pPr>
    </w:p>
    <w:p w:rsidR="00932CB9" w:rsidRPr="0041352C" w:rsidRDefault="002D3772" w:rsidP="00932CB9">
      <w:pPr>
        <w:pStyle w:val="Prrafodelista"/>
        <w:numPr>
          <w:ilvl w:val="0"/>
          <w:numId w:val="3"/>
        </w:numPr>
        <w:autoSpaceDE w:val="0"/>
        <w:autoSpaceDN w:val="0"/>
        <w:adjustRightInd w:val="0"/>
        <w:jc w:val="both"/>
        <w:rPr>
          <w:rFonts w:ascii="Verdana" w:hAnsi="Verdana" w:cs="Arial"/>
          <w:sz w:val="20"/>
          <w:szCs w:val="20"/>
        </w:rPr>
      </w:pPr>
      <w:r w:rsidRPr="0041352C">
        <w:rPr>
          <w:rFonts w:ascii="Verdana" w:hAnsi="Verdana" w:cs="Arial"/>
          <w:sz w:val="20"/>
          <w:szCs w:val="20"/>
        </w:rPr>
        <w:t>Guía</w:t>
      </w:r>
      <w:r w:rsidR="00932CB9" w:rsidRPr="0041352C">
        <w:rPr>
          <w:rFonts w:ascii="Verdana" w:hAnsi="Verdana" w:cs="Arial"/>
          <w:sz w:val="20"/>
          <w:szCs w:val="20"/>
        </w:rPr>
        <w:t xml:space="preserve"> del facilitador sobre la Planificación Estratégica Territorial.  Secretaría de Planificación y Coordinación de la Presidencia -SEGEPLAN-.  2009.</w:t>
      </w:r>
    </w:p>
    <w:p w:rsidR="00932CB9" w:rsidRPr="0041352C" w:rsidRDefault="00932CB9" w:rsidP="00932CB9">
      <w:pPr>
        <w:pStyle w:val="Prrafodelista"/>
        <w:numPr>
          <w:ilvl w:val="0"/>
          <w:numId w:val="3"/>
        </w:numPr>
        <w:autoSpaceDE w:val="0"/>
        <w:autoSpaceDN w:val="0"/>
        <w:adjustRightInd w:val="0"/>
        <w:jc w:val="both"/>
        <w:rPr>
          <w:rFonts w:ascii="Verdana" w:hAnsi="Verdana" w:cs="Arial"/>
          <w:sz w:val="20"/>
          <w:szCs w:val="20"/>
        </w:rPr>
      </w:pPr>
      <w:r w:rsidRPr="0041352C">
        <w:rPr>
          <w:rFonts w:ascii="Verdana" w:hAnsi="Verdana" w:cs="Arial"/>
          <w:sz w:val="20"/>
          <w:szCs w:val="20"/>
        </w:rPr>
        <w:t>Planes de Desarrollo Municipal del departamento de Chiquimula, diferentes fechas.</w:t>
      </w:r>
    </w:p>
    <w:p w:rsidR="00932CB9" w:rsidRPr="0041352C" w:rsidRDefault="0066185B" w:rsidP="0066185B">
      <w:pPr>
        <w:pStyle w:val="Prrafodelista"/>
        <w:numPr>
          <w:ilvl w:val="0"/>
          <w:numId w:val="3"/>
        </w:numPr>
        <w:autoSpaceDE w:val="0"/>
        <w:autoSpaceDN w:val="0"/>
        <w:adjustRightInd w:val="0"/>
        <w:jc w:val="both"/>
        <w:rPr>
          <w:rFonts w:ascii="Verdana" w:hAnsi="Verdana" w:cs="Arial"/>
          <w:sz w:val="20"/>
          <w:szCs w:val="20"/>
        </w:rPr>
      </w:pPr>
      <w:r w:rsidRPr="0041352C">
        <w:rPr>
          <w:rFonts w:ascii="Verdana" w:hAnsi="Verdana" w:cs="Arial"/>
          <w:sz w:val="20"/>
          <w:szCs w:val="20"/>
        </w:rPr>
        <w:t>La administración pública en Guatemala.  INAP.  2009.</w:t>
      </w:r>
    </w:p>
    <w:p w:rsidR="0066185B" w:rsidRPr="0041352C" w:rsidRDefault="0066185B" w:rsidP="0066185B">
      <w:pPr>
        <w:pStyle w:val="Prrafodelista"/>
        <w:numPr>
          <w:ilvl w:val="0"/>
          <w:numId w:val="3"/>
        </w:numPr>
        <w:autoSpaceDE w:val="0"/>
        <w:autoSpaceDN w:val="0"/>
        <w:adjustRightInd w:val="0"/>
        <w:jc w:val="both"/>
        <w:rPr>
          <w:rFonts w:ascii="Verdana" w:hAnsi="Verdana" w:cs="Arial"/>
          <w:sz w:val="20"/>
          <w:szCs w:val="20"/>
        </w:rPr>
      </w:pPr>
      <w:r w:rsidRPr="0041352C">
        <w:rPr>
          <w:rFonts w:ascii="Verdana" w:hAnsi="Verdana" w:cs="Arial"/>
          <w:sz w:val="20"/>
          <w:szCs w:val="20"/>
        </w:rPr>
        <w:t>Atlas de Guatemala, Recursos Naturales.  Ministerio de Agricultura, Ganadería y Alimentación –MAGA-  2005.</w:t>
      </w:r>
    </w:p>
    <w:p w:rsidR="0066185B" w:rsidRPr="0041352C" w:rsidRDefault="0066185B" w:rsidP="0066185B">
      <w:pPr>
        <w:pStyle w:val="Prrafodelista"/>
        <w:numPr>
          <w:ilvl w:val="0"/>
          <w:numId w:val="3"/>
        </w:numPr>
        <w:autoSpaceDE w:val="0"/>
        <w:autoSpaceDN w:val="0"/>
        <w:adjustRightInd w:val="0"/>
        <w:jc w:val="both"/>
        <w:rPr>
          <w:rFonts w:ascii="Verdana" w:hAnsi="Verdana" w:cs="Arial"/>
          <w:sz w:val="20"/>
          <w:szCs w:val="20"/>
        </w:rPr>
      </w:pPr>
      <w:r w:rsidRPr="0041352C">
        <w:rPr>
          <w:rFonts w:ascii="Verdana" w:hAnsi="Verdana" w:cs="Arial"/>
          <w:sz w:val="20"/>
          <w:szCs w:val="20"/>
        </w:rPr>
        <w:t>Mapa de suelos del departamento de Chimaltenango.  MAGA.  2009.</w:t>
      </w:r>
    </w:p>
    <w:p w:rsidR="009E581F" w:rsidRPr="0041352C" w:rsidRDefault="009E581F" w:rsidP="009E581F">
      <w:pPr>
        <w:pStyle w:val="Prrafodelista"/>
        <w:autoSpaceDE w:val="0"/>
        <w:autoSpaceDN w:val="0"/>
        <w:adjustRightInd w:val="0"/>
        <w:ind w:left="1080"/>
        <w:jc w:val="both"/>
        <w:rPr>
          <w:rFonts w:ascii="Verdana" w:hAnsi="Verdana" w:cs="Arial"/>
          <w:sz w:val="20"/>
          <w:szCs w:val="20"/>
        </w:rPr>
      </w:pPr>
    </w:p>
    <w:p w:rsidR="00932CB9" w:rsidRPr="0041352C" w:rsidRDefault="00932CB9" w:rsidP="00932CB9">
      <w:pPr>
        <w:pStyle w:val="Prrafodelista"/>
        <w:autoSpaceDE w:val="0"/>
        <w:autoSpaceDN w:val="0"/>
        <w:adjustRightInd w:val="0"/>
        <w:jc w:val="both"/>
        <w:rPr>
          <w:rFonts w:ascii="Verdana" w:hAnsi="Verdana" w:cs="TimesNewRoman"/>
          <w:sz w:val="20"/>
          <w:szCs w:val="20"/>
        </w:rPr>
      </w:pPr>
    </w:p>
    <w:p w:rsidR="00932CB9" w:rsidRPr="0041352C" w:rsidRDefault="00932CB9" w:rsidP="00932CB9">
      <w:pPr>
        <w:autoSpaceDE w:val="0"/>
        <w:autoSpaceDN w:val="0"/>
        <w:adjustRightInd w:val="0"/>
        <w:jc w:val="both"/>
        <w:rPr>
          <w:rFonts w:ascii="Verdana" w:hAnsi="Verdana" w:cs="Arial"/>
          <w:b/>
          <w:sz w:val="20"/>
          <w:szCs w:val="20"/>
        </w:rPr>
      </w:pPr>
    </w:p>
    <w:sectPr w:rsidR="00932CB9" w:rsidRPr="0041352C" w:rsidSect="0041352C">
      <w:headerReference w:type="default" r:id="rId24"/>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E8" w:rsidRDefault="007F55E8" w:rsidP="00932CB9">
      <w:pPr>
        <w:spacing w:after="0" w:line="240" w:lineRule="auto"/>
      </w:pPr>
      <w:r>
        <w:separator/>
      </w:r>
    </w:p>
  </w:endnote>
  <w:endnote w:type="continuationSeparator" w:id="0">
    <w:p w:rsidR="007F55E8" w:rsidRDefault="007F55E8" w:rsidP="0093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E8" w:rsidRDefault="007F55E8" w:rsidP="00932CB9">
      <w:pPr>
        <w:spacing w:after="0" w:line="240" w:lineRule="auto"/>
      </w:pPr>
      <w:r>
        <w:separator/>
      </w:r>
    </w:p>
  </w:footnote>
  <w:footnote w:type="continuationSeparator" w:id="0">
    <w:p w:rsidR="007F55E8" w:rsidRDefault="007F55E8" w:rsidP="00932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1E" w:rsidRPr="008167B6" w:rsidRDefault="00B66DAB" w:rsidP="006B311E">
    <w:pPr>
      <w:spacing w:after="0" w:line="240" w:lineRule="auto"/>
      <w:jc w:val="center"/>
      <w:rPr>
        <w:rFonts w:ascii="Book Antiqua" w:hAnsi="Book Antiqua"/>
        <w:b/>
        <w:sz w:val="20"/>
        <w:szCs w:val="20"/>
      </w:rPr>
    </w:pPr>
    <w:r>
      <w:rPr>
        <w:noProof/>
        <w:lang w:eastAsia="es-GT"/>
      </w:rPr>
      <w:drawing>
        <wp:anchor distT="0" distB="0" distL="114300" distR="114300" simplePos="0" relativeHeight="251660288" behindDoc="0" locked="0" layoutInCell="1" allowOverlap="1" wp14:anchorId="2B8168AE" wp14:editId="1E999DAD">
          <wp:simplePos x="0" y="0"/>
          <wp:positionH relativeFrom="column">
            <wp:posOffset>231140</wp:posOffset>
          </wp:positionH>
          <wp:positionV relativeFrom="paragraph">
            <wp:posOffset>-27940</wp:posOffset>
          </wp:positionV>
          <wp:extent cx="681990" cy="675005"/>
          <wp:effectExtent l="0" t="0" r="3810" b="0"/>
          <wp:wrapSquare wrapText="bothSides"/>
          <wp:docPr id="2" name="Imagen 2" descr="Logo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sac"/>
                  <pic:cNvPicPr>
                    <a:picLocks noChangeAspect="1" noChangeArrowheads="1"/>
                  </pic:cNvPicPr>
                </pic:nvPicPr>
                <pic:blipFill>
                  <a:blip r:embed="rId1"/>
                  <a:srcRect/>
                  <a:stretch>
                    <a:fillRect/>
                  </a:stretch>
                </pic:blipFill>
                <pic:spPr bwMode="auto">
                  <a:xfrm>
                    <a:off x="0" y="0"/>
                    <a:ext cx="681990" cy="675005"/>
                  </a:xfrm>
                  <a:prstGeom prst="rect">
                    <a:avLst/>
                  </a:prstGeom>
                  <a:noFill/>
                </pic:spPr>
              </pic:pic>
            </a:graphicData>
          </a:graphic>
        </wp:anchor>
      </w:drawing>
    </w:r>
    <w:r>
      <w:rPr>
        <w:noProof/>
        <w:lang w:eastAsia="es-GT"/>
      </w:rPr>
      <w:drawing>
        <wp:anchor distT="0" distB="0" distL="114300" distR="114300" simplePos="0" relativeHeight="251659264" behindDoc="0" locked="0" layoutInCell="1" allowOverlap="1" wp14:anchorId="59340ADA" wp14:editId="3C914143">
          <wp:simplePos x="0" y="0"/>
          <wp:positionH relativeFrom="column">
            <wp:posOffset>4396105</wp:posOffset>
          </wp:positionH>
          <wp:positionV relativeFrom="paragraph">
            <wp:posOffset>45085</wp:posOffset>
          </wp:positionV>
          <wp:extent cx="1261110" cy="407670"/>
          <wp:effectExtent l="0" t="0" r="0" b="0"/>
          <wp:wrapSquare wrapText="bothSides"/>
          <wp:docPr id="1" name="Imagen 1" descr="logo admon tie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dmon tierras"/>
                  <pic:cNvPicPr>
                    <a:picLocks noChangeAspect="1" noChangeArrowheads="1"/>
                  </pic:cNvPicPr>
                </pic:nvPicPr>
                <pic:blipFill>
                  <a:blip r:embed="rId2"/>
                  <a:srcRect/>
                  <a:stretch>
                    <a:fillRect/>
                  </a:stretch>
                </pic:blipFill>
                <pic:spPr bwMode="auto">
                  <a:xfrm>
                    <a:off x="0" y="0"/>
                    <a:ext cx="1261110" cy="407670"/>
                  </a:xfrm>
                  <a:prstGeom prst="rect">
                    <a:avLst/>
                  </a:prstGeom>
                  <a:noFill/>
                </pic:spPr>
              </pic:pic>
            </a:graphicData>
          </a:graphic>
        </wp:anchor>
      </w:drawing>
    </w:r>
    <w:r w:rsidR="006B311E" w:rsidRPr="008167B6">
      <w:rPr>
        <w:rFonts w:ascii="Book Antiqua" w:hAnsi="Book Antiqua"/>
        <w:b/>
        <w:sz w:val="20"/>
        <w:szCs w:val="20"/>
      </w:rPr>
      <w:t>UNIVERSIDAD DE SAN CARLOS DE GUATEMALA</w:t>
    </w:r>
  </w:p>
  <w:p w:rsidR="006B311E" w:rsidRPr="008167B6" w:rsidRDefault="006B311E" w:rsidP="006B311E">
    <w:pPr>
      <w:spacing w:after="0" w:line="240" w:lineRule="auto"/>
      <w:jc w:val="center"/>
      <w:rPr>
        <w:rFonts w:ascii="Book Antiqua" w:hAnsi="Book Antiqua"/>
        <w:b/>
        <w:sz w:val="20"/>
        <w:szCs w:val="20"/>
      </w:rPr>
    </w:pPr>
    <w:r w:rsidRPr="008167B6">
      <w:rPr>
        <w:rFonts w:ascii="Book Antiqua" w:hAnsi="Book Antiqua"/>
        <w:b/>
        <w:sz w:val="20"/>
        <w:szCs w:val="20"/>
      </w:rPr>
      <w:t>CENTRO UNIVERSITARIO DE ORIENTE</w:t>
    </w:r>
  </w:p>
  <w:p w:rsidR="006B311E" w:rsidRPr="006B311E" w:rsidRDefault="006B311E" w:rsidP="006B311E">
    <w:pPr>
      <w:spacing w:after="0" w:line="240" w:lineRule="auto"/>
      <w:jc w:val="center"/>
      <w:rPr>
        <w:rFonts w:ascii="Book Antiqua" w:hAnsi="Book Antiqua"/>
        <w:b/>
        <w:sz w:val="20"/>
        <w:szCs w:val="20"/>
      </w:rPr>
    </w:pPr>
    <w:r>
      <w:rPr>
        <w:rFonts w:ascii="Book Antiqua" w:hAnsi="Book Antiqua"/>
        <w:b/>
        <w:sz w:val="20"/>
        <w:szCs w:val="20"/>
      </w:rPr>
      <w:t xml:space="preserve"> </w:t>
    </w:r>
    <w:r w:rsidRPr="008167B6">
      <w:rPr>
        <w:rFonts w:ascii="Book Antiqua" w:hAnsi="Book Antiqua"/>
        <w:b/>
        <w:sz w:val="20"/>
        <w:szCs w:val="20"/>
      </w:rPr>
      <w:t xml:space="preserve">ADMINISTRACIÓN DE </w:t>
    </w:r>
    <w:r>
      <w:rPr>
        <w:rFonts w:ascii="Book Antiqua" w:hAnsi="Book Antiqua"/>
        <w:b/>
        <w:sz w:val="20"/>
        <w:szCs w:val="20"/>
      </w:rPr>
      <w:t>TIERRAS</w:t>
    </w:r>
  </w:p>
  <w:p w:rsidR="006B311E" w:rsidRDefault="006B31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138A0"/>
    <w:multiLevelType w:val="hybridMultilevel"/>
    <w:tmpl w:val="2468289A"/>
    <w:lvl w:ilvl="0" w:tplc="CA8009B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5726A47"/>
    <w:multiLevelType w:val="hybridMultilevel"/>
    <w:tmpl w:val="73A603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8F4AF9"/>
    <w:multiLevelType w:val="hybridMultilevel"/>
    <w:tmpl w:val="01F2F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243DEC"/>
    <w:multiLevelType w:val="multilevel"/>
    <w:tmpl w:val="98244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B4"/>
    <w:rsid w:val="00055155"/>
    <w:rsid w:val="00080974"/>
    <w:rsid w:val="001352C7"/>
    <w:rsid w:val="001C454E"/>
    <w:rsid w:val="0020543A"/>
    <w:rsid w:val="00210C5F"/>
    <w:rsid w:val="00223D13"/>
    <w:rsid w:val="002D3772"/>
    <w:rsid w:val="002D46B5"/>
    <w:rsid w:val="003A4670"/>
    <w:rsid w:val="003E04FC"/>
    <w:rsid w:val="003F12EE"/>
    <w:rsid w:val="0041352C"/>
    <w:rsid w:val="004215AB"/>
    <w:rsid w:val="004241B4"/>
    <w:rsid w:val="004406EA"/>
    <w:rsid w:val="00445C5D"/>
    <w:rsid w:val="005156CA"/>
    <w:rsid w:val="0066185B"/>
    <w:rsid w:val="006B311E"/>
    <w:rsid w:val="006C3CE1"/>
    <w:rsid w:val="006D19C7"/>
    <w:rsid w:val="0072702A"/>
    <w:rsid w:val="00735C42"/>
    <w:rsid w:val="007545CE"/>
    <w:rsid w:val="00773E22"/>
    <w:rsid w:val="007A3837"/>
    <w:rsid w:val="007A4F3A"/>
    <w:rsid w:val="007D6277"/>
    <w:rsid w:val="007F55E8"/>
    <w:rsid w:val="008012CD"/>
    <w:rsid w:val="00884C9C"/>
    <w:rsid w:val="008E4F09"/>
    <w:rsid w:val="00905280"/>
    <w:rsid w:val="00932CB9"/>
    <w:rsid w:val="00941FA1"/>
    <w:rsid w:val="00944A31"/>
    <w:rsid w:val="00990EC6"/>
    <w:rsid w:val="009E581F"/>
    <w:rsid w:val="00A03056"/>
    <w:rsid w:val="00A10263"/>
    <w:rsid w:val="00A168DE"/>
    <w:rsid w:val="00AB7063"/>
    <w:rsid w:val="00AC7E77"/>
    <w:rsid w:val="00AF0A18"/>
    <w:rsid w:val="00B17A4A"/>
    <w:rsid w:val="00B33596"/>
    <w:rsid w:val="00B66DAB"/>
    <w:rsid w:val="00BC494B"/>
    <w:rsid w:val="00BF16C6"/>
    <w:rsid w:val="00C415CC"/>
    <w:rsid w:val="00D71055"/>
    <w:rsid w:val="00DF5217"/>
    <w:rsid w:val="00E07F12"/>
    <w:rsid w:val="00EC3C86"/>
    <w:rsid w:val="00F63748"/>
    <w:rsid w:val="00FD0FB4"/>
    <w:rsid w:val="00FD169C"/>
    <w:rsid w:val="00FE097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F12EE"/>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41B4"/>
    <w:pPr>
      <w:spacing w:after="0" w:line="240" w:lineRule="auto"/>
      <w:jc w:val="both"/>
    </w:pPr>
    <w:rPr>
      <w:rFonts w:ascii="Times" w:eastAsia="Times" w:hAnsi="Times" w:cs="Times New Roman"/>
      <w:sz w:val="24"/>
      <w:szCs w:val="20"/>
      <w:lang w:val="es-ES_tradnl"/>
    </w:rPr>
  </w:style>
  <w:style w:type="character" w:customStyle="1" w:styleId="TextoindependienteCar">
    <w:name w:val="Texto independiente Car"/>
    <w:basedOn w:val="Fuentedeprrafopredeter"/>
    <w:link w:val="Textoindependiente"/>
    <w:rsid w:val="004241B4"/>
    <w:rPr>
      <w:rFonts w:ascii="Times" w:eastAsia="Times" w:hAnsi="Times" w:cs="Times New Roman"/>
      <w:sz w:val="24"/>
      <w:szCs w:val="20"/>
      <w:lang w:val="es-ES_tradnl"/>
    </w:rPr>
  </w:style>
  <w:style w:type="paragraph" w:styleId="NormalWeb">
    <w:name w:val="Normal (Web)"/>
    <w:basedOn w:val="Normal"/>
    <w:uiPriority w:val="99"/>
    <w:semiHidden/>
    <w:unhideWhenUsed/>
    <w:rsid w:val="004241B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4241B4"/>
  </w:style>
  <w:style w:type="character" w:styleId="Hipervnculo">
    <w:name w:val="Hyperlink"/>
    <w:basedOn w:val="Fuentedeprrafopredeter"/>
    <w:uiPriority w:val="99"/>
    <w:semiHidden/>
    <w:unhideWhenUsed/>
    <w:rsid w:val="004241B4"/>
    <w:rPr>
      <w:color w:val="0000FF"/>
      <w:u w:val="single"/>
    </w:rPr>
  </w:style>
  <w:style w:type="character" w:customStyle="1" w:styleId="Ttulo2Car">
    <w:name w:val="Título 2 Car"/>
    <w:basedOn w:val="Fuentedeprrafopredeter"/>
    <w:link w:val="Ttulo2"/>
    <w:uiPriority w:val="9"/>
    <w:rsid w:val="003F12EE"/>
    <w:rPr>
      <w:rFonts w:ascii="Times New Roman" w:eastAsia="Times New Roman" w:hAnsi="Times New Roman" w:cs="Times New Roman"/>
      <w:b/>
      <w:bCs/>
      <w:sz w:val="36"/>
      <w:szCs w:val="36"/>
      <w:lang w:eastAsia="es-GT"/>
    </w:rPr>
  </w:style>
  <w:style w:type="character" w:customStyle="1" w:styleId="mw-headline">
    <w:name w:val="mw-headline"/>
    <w:basedOn w:val="Fuentedeprrafopredeter"/>
    <w:rsid w:val="003F12EE"/>
  </w:style>
  <w:style w:type="paragraph" w:styleId="Prrafodelista">
    <w:name w:val="List Paragraph"/>
    <w:basedOn w:val="Normal"/>
    <w:uiPriority w:val="34"/>
    <w:qFormat/>
    <w:rsid w:val="00932CB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notapie">
    <w:name w:val="footnote text"/>
    <w:aliases w:val=" Car,Char"/>
    <w:basedOn w:val="Normal"/>
    <w:link w:val="TextonotapieCar"/>
    <w:uiPriority w:val="99"/>
    <w:rsid w:val="00932CB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Char Car"/>
    <w:basedOn w:val="Fuentedeprrafopredeter"/>
    <w:link w:val="Textonotapie"/>
    <w:uiPriority w:val="99"/>
    <w:rsid w:val="00932CB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32CB9"/>
    <w:rPr>
      <w:vertAlign w:val="superscript"/>
    </w:rPr>
  </w:style>
  <w:style w:type="paragraph" w:styleId="Textosinformato">
    <w:name w:val="Plain Text"/>
    <w:basedOn w:val="Normal"/>
    <w:link w:val="TextosinformatoCar"/>
    <w:uiPriority w:val="99"/>
    <w:rsid w:val="00932CB9"/>
    <w:pPr>
      <w:spacing w:after="0" w:line="240" w:lineRule="auto"/>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uiPriority w:val="99"/>
    <w:rsid w:val="00932CB9"/>
    <w:rPr>
      <w:rFonts w:ascii="Consolas" w:eastAsia="Times New Roman" w:hAnsi="Consolas" w:cs="Times New Roman"/>
      <w:sz w:val="21"/>
      <w:szCs w:val="21"/>
      <w:lang w:val="en-US"/>
    </w:rPr>
  </w:style>
  <w:style w:type="paragraph" w:styleId="Encabezado">
    <w:name w:val="header"/>
    <w:basedOn w:val="Normal"/>
    <w:link w:val="EncabezadoCar"/>
    <w:unhideWhenUsed/>
    <w:rsid w:val="006B3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11E"/>
  </w:style>
  <w:style w:type="paragraph" w:styleId="Piedepgina">
    <w:name w:val="footer"/>
    <w:basedOn w:val="Normal"/>
    <w:link w:val="PiedepginaCar"/>
    <w:uiPriority w:val="99"/>
    <w:unhideWhenUsed/>
    <w:rsid w:val="006B3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F12EE"/>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41B4"/>
    <w:pPr>
      <w:spacing w:after="0" w:line="240" w:lineRule="auto"/>
      <w:jc w:val="both"/>
    </w:pPr>
    <w:rPr>
      <w:rFonts w:ascii="Times" w:eastAsia="Times" w:hAnsi="Times" w:cs="Times New Roman"/>
      <w:sz w:val="24"/>
      <w:szCs w:val="20"/>
      <w:lang w:val="es-ES_tradnl"/>
    </w:rPr>
  </w:style>
  <w:style w:type="character" w:customStyle="1" w:styleId="TextoindependienteCar">
    <w:name w:val="Texto independiente Car"/>
    <w:basedOn w:val="Fuentedeprrafopredeter"/>
    <w:link w:val="Textoindependiente"/>
    <w:rsid w:val="004241B4"/>
    <w:rPr>
      <w:rFonts w:ascii="Times" w:eastAsia="Times" w:hAnsi="Times" w:cs="Times New Roman"/>
      <w:sz w:val="24"/>
      <w:szCs w:val="20"/>
      <w:lang w:val="es-ES_tradnl"/>
    </w:rPr>
  </w:style>
  <w:style w:type="paragraph" w:styleId="NormalWeb">
    <w:name w:val="Normal (Web)"/>
    <w:basedOn w:val="Normal"/>
    <w:uiPriority w:val="99"/>
    <w:semiHidden/>
    <w:unhideWhenUsed/>
    <w:rsid w:val="004241B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4241B4"/>
  </w:style>
  <w:style w:type="character" w:styleId="Hipervnculo">
    <w:name w:val="Hyperlink"/>
    <w:basedOn w:val="Fuentedeprrafopredeter"/>
    <w:uiPriority w:val="99"/>
    <w:semiHidden/>
    <w:unhideWhenUsed/>
    <w:rsid w:val="004241B4"/>
    <w:rPr>
      <w:color w:val="0000FF"/>
      <w:u w:val="single"/>
    </w:rPr>
  </w:style>
  <w:style w:type="character" w:customStyle="1" w:styleId="Ttulo2Car">
    <w:name w:val="Título 2 Car"/>
    <w:basedOn w:val="Fuentedeprrafopredeter"/>
    <w:link w:val="Ttulo2"/>
    <w:uiPriority w:val="9"/>
    <w:rsid w:val="003F12EE"/>
    <w:rPr>
      <w:rFonts w:ascii="Times New Roman" w:eastAsia="Times New Roman" w:hAnsi="Times New Roman" w:cs="Times New Roman"/>
      <w:b/>
      <w:bCs/>
      <w:sz w:val="36"/>
      <w:szCs w:val="36"/>
      <w:lang w:eastAsia="es-GT"/>
    </w:rPr>
  </w:style>
  <w:style w:type="character" w:customStyle="1" w:styleId="mw-headline">
    <w:name w:val="mw-headline"/>
    <w:basedOn w:val="Fuentedeprrafopredeter"/>
    <w:rsid w:val="003F12EE"/>
  </w:style>
  <w:style w:type="paragraph" w:styleId="Prrafodelista">
    <w:name w:val="List Paragraph"/>
    <w:basedOn w:val="Normal"/>
    <w:uiPriority w:val="34"/>
    <w:qFormat/>
    <w:rsid w:val="00932CB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notapie">
    <w:name w:val="footnote text"/>
    <w:aliases w:val=" Car,Char"/>
    <w:basedOn w:val="Normal"/>
    <w:link w:val="TextonotapieCar"/>
    <w:uiPriority w:val="99"/>
    <w:rsid w:val="00932CB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Char Car"/>
    <w:basedOn w:val="Fuentedeprrafopredeter"/>
    <w:link w:val="Textonotapie"/>
    <w:uiPriority w:val="99"/>
    <w:rsid w:val="00932CB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32CB9"/>
    <w:rPr>
      <w:vertAlign w:val="superscript"/>
    </w:rPr>
  </w:style>
  <w:style w:type="paragraph" w:styleId="Textosinformato">
    <w:name w:val="Plain Text"/>
    <w:basedOn w:val="Normal"/>
    <w:link w:val="TextosinformatoCar"/>
    <w:uiPriority w:val="99"/>
    <w:rsid w:val="00932CB9"/>
    <w:pPr>
      <w:spacing w:after="0" w:line="240" w:lineRule="auto"/>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uiPriority w:val="99"/>
    <w:rsid w:val="00932CB9"/>
    <w:rPr>
      <w:rFonts w:ascii="Consolas" w:eastAsia="Times New Roman" w:hAnsi="Consolas" w:cs="Times New Roman"/>
      <w:sz w:val="21"/>
      <w:szCs w:val="21"/>
      <w:lang w:val="en-US"/>
    </w:rPr>
  </w:style>
  <w:style w:type="paragraph" w:styleId="Encabezado">
    <w:name w:val="header"/>
    <w:basedOn w:val="Normal"/>
    <w:link w:val="EncabezadoCar"/>
    <w:unhideWhenUsed/>
    <w:rsid w:val="006B3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11E"/>
  </w:style>
  <w:style w:type="paragraph" w:styleId="Piedepgina">
    <w:name w:val="footer"/>
    <w:basedOn w:val="Normal"/>
    <w:link w:val="PiedepginaCar"/>
    <w:uiPriority w:val="99"/>
    <w:unhideWhenUsed/>
    <w:rsid w:val="006B3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7805">
      <w:bodyDiv w:val="1"/>
      <w:marLeft w:val="0"/>
      <w:marRight w:val="0"/>
      <w:marTop w:val="0"/>
      <w:marBottom w:val="0"/>
      <w:divBdr>
        <w:top w:val="none" w:sz="0" w:space="0" w:color="auto"/>
        <w:left w:val="none" w:sz="0" w:space="0" w:color="auto"/>
        <w:bottom w:val="none" w:sz="0" w:space="0" w:color="auto"/>
        <w:right w:val="none" w:sz="0" w:space="0" w:color="auto"/>
      </w:divBdr>
    </w:div>
    <w:div w:id="13102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Ciudadan%C3%ADa" TargetMode="External"/><Relationship Id="rId18" Type="http://schemas.openxmlformats.org/officeDocument/2006/relationships/hyperlink" Target="http://es.wikipedia.org/wiki/Salu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Servicios_p%C3%BAblicos" TargetMode="External"/><Relationship Id="rId7" Type="http://schemas.openxmlformats.org/officeDocument/2006/relationships/footnotes" Target="footnotes.xml"/><Relationship Id="rId12" Type="http://schemas.openxmlformats.org/officeDocument/2006/relationships/hyperlink" Target="http://es.wikipedia.org/wiki/Ente_p%C3%BAblico" TargetMode="External"/><Relationship Id="rId17" Type="http://schemas.openxmlformats.org/officeDocument/2006/relationships/hyperlink" Target="http://es.wikipedia.org/wiki/Educaci%C3%B3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Empresa_estatal" TargetMode="External"/><Relationship Id="rId20" Type="http://schemas.openxmlformats.org/officeDocument/2006/relationships/hyperlink" Target="http://es.wikipedia.org/wiki/Fuerzas_armad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Estad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s.wikipedia.org/wiki/Poder_ejecutivo" TargetMode="External"/><Relationship Id="rId23" Type="http://schemas.openxmlformats.org/officeDocument/2006/relationships/hyperlink" Target="http://es.wikipedia.org/wiki/Poder_judicial" TargetMode="External"/><Relationship Id="rId10" Type="http://schemas.openxmlformats.org/officeDocument/2006/relationships/hyperlink" Target="http://es.wikipedia.org/wiki/Administraci%C3%B3n_de_Empresas" TargetMode="External"/><Relationship Id="rId19" Type="http://schemas.openxmlformats.org/officeDocument/2006/relationships/hyperlink" Target="http://es.wikipedia.org/wiki/Polic%C3%ADa" TargetMode="External"/><Relationship Id="rId4" Type="http://schemas.microsoft.com/office/2007/relationships/stylesWithEffects" Target="stylesWithEffects.xml"/><Relationship Id="rId9" Type="http://schemas.openxmlformats.org/officeDocument/2006/relationships/hyperlink" Target="http://es.wikipedia.org/wiki/Organizaci%C3%B3n" TargetMode="External"/><Relationship Id="rId14" Type="http://schemas.openxmlformats.org/officeDocument/2006/relationships/hyperlink" Target="http://es.wikipedia.org/wiki/Poder_pol%C3%ADtico" TargetMode="External"/><Relationship Id="rId22" Type="http://schemas.openxmlformats.org/officeDocument/2006/relationships/hyperlink" Target="http://es.wikipedia.org/wiki/Poder_legislativ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5E5E-8AEE-4B9D-8698-2CB6C9E1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Agrimensura</cp:lastModifiedBy>
  <cp:revision>2</cp:revision>
  <dcterms:created xsi:type="dcterms:W3CDTF">2012-07-04T01:55:00Z</dcterms:created>
  <dcterms:modified xsi:type="dcterms:W3CDTF">2012-07-04T01:55:00Z</dcterms:modified>
</cp:coreProperties>
</file>